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76E9E" w14:textId="3200EFC4" w:rsidR="00172DEF" w:rsidRDefault="00580B40" w:rsidP="00C3394C">
      <w:pPr>
        <w:jc w:val="center"/>
        <w:rPr>
          <w:rFonts w:ascii="Calibri" w:hAnsi="Calibri"/>
          <w:sz w:val="52"/>
          <w:szCs w:val="52"/>
        </w:rPr>
      </w:pPr>
      <w:r>
        <w:rPr>
          <w:rFonts w:ascii="Calibri" w:hAnsi="Calibri"/>
          <w:sz w:val="52"/>
          <w:szCs w:val="52"/>
        </w:rPr>
        <w:t>Les modalités</w:t>
      </w:r>
      <w:r w:rsidR="00EC121B" w:rsidRPr="00EC121B">
        <w:rPr>
          <w:rFonts w:ascii="Calibri" w:hAnsi="Calibri"/>
          <w:sz w:val="52"/>
          <w:szCs w:val="52"/>
        </w:rPr>
        <w:t xml:space="preserve"> du programme </w:t>
      </w:r>
      <w:proofErr w:type="spellStart"/>
      <w:r w:rsidR="00EC121B" w:rsidRPr="00EC121B">
        <w:rPr>
          <w:rFonts w:ascii="Calibri" w:hAnsi="Calibri"/>
          <w:sz w:val="52"/>
          <w:szCs w:val="52"/>
        </w:rPr>
        <w:t>Shield</w:t>
      </w:r>
      <w:proofErr w:type="spellEnd"/>
      <w:r w:rsidR="00EC121B" w:rsidRPr="00EC121B">
        <w:rPr>
          <w:rFonts w:ascii="Calibri" w:hAnsi="Calibri"/>
          <w:sz w:val="52"/>
          <w:szCs w:val="52"/>
        </w:rPr>
        <w:t xml:space="preserve"> de </w:t>
      </w:r>
      <w:proofErr w:type="spellStart"/>
      <w:r w:rsidR="00EC121B" w:rsidRPr="00EC121B">
        <w:rPr>
          <w:rFonts w:ascii="Calibri" w:hAnsi="Calibri"/>
          <w:sz w:val="52"/>
          <w:szCs w:val="52"/>
        </w:rPr>
        <w:t>Diversey</w:t>
      </w:r>
      <w:proofErr w:type="spellEnd"/>
      <w:r w:rsidR="00EC121B" w:rsidRPr="00EC121B">
        <w:rPr>
          <w:rFonts w:ascii="Calibri" w:hAnsi="Calibri"/>
          <w:sz w:val="52"/>
          <w:szCs w:val="52"/>
        </w:rPr>
        <w:t xml:space="preserve"> Consulting</w:t>
      </w:r>
    </w:p>
    <w:p w14:paraId="7ABB4E08" w14:textId="68FB0F09" w:rsidR="00EC121B" w:rsidRDefault="00EC121B" w:rsidP="00C3394C">
      <w:pPr>
        <w:jc w:val="center"/>
        <w:rPr>
          <w:rFonts w:ascii="Calibri" w:hAnsi="Calibri"/>
          <w:sz w:val="28"/>
          <w:szCs w:val="28"/>
        </w:rPr>
      </w:pPr>
      <w:bookmarkStart w:id="0" w:name="_GoBack"/>
      <w:bookmarkEnd w:id="0"/>
    </w:p>
    <w:p w14:paraId="7EAD704E" w14:textId="77777777" w:rsidR="00EC121B" w:rsidRDefault="00EC121B" w:rsidP="00C3394C">
      <w:pPr>
        <w:jc w:val="center"/>
        <w:rPr>
          <w:rFonts w:ascii="Calibri" w:hAnsi="Calibri"/>
          <w:sz w:val="28"/>
          <w:szCs w:val="28"/>
        </w:rPr>
      </w:pPr>
      <w:r>
        <w:rPr>
          <w:noProof/>
        </w:rPr>
        <w:drawing>
          <wp:inline distT="0" distB="0" distL="0" distR="0" wp14:anchorId="4BDA6A28" wp14:editId="152753B4">
            <wp:extent cx="1775460" cy="17754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a:effectLst/>
                  </pic:spPr>
                </pic:pic>
              </a:graphicData>
            </a:graphic>
          </wp:inline>
        </w:drawing>
      </w:r>
      <w:r>
        <w:rPr>
          <w:noProof/>
        </w:rPr>
        <w:drawing>
          <wp:inline distT="0" distB="0" distL="0" distR="0" wp14:anchorId="20C2EBB2" wp14:editId="70D8D431">
            <wp:extent cx="1775460" cy="1775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a:effectLst/>
                  </pic:spPr>
                </pic:pic>
              </a:graphicData>
            </a:graphic>
          </wp:inline>
        </w:drawing>
      </w:r>
    </w:p>
    <w:p w14:paraId="5EBA53A6" w14:textId="77777777" w:rsidR="00130C84" w:rsidRDefault="00130C84" w:rsidP="00C3394C">
      <w:pPr>
        <w:jc w:val="both"/>
        <w:rPr>
          <w:rFonts w:ascii="Cambria" w:eastAsia="Times New Roman" w:hAnsi="Cambria" w:cs="Times New Roman"/>
          <w:b/>
          <w:bCs/>
          <w:sz w:val="28"/>
          <w:szCs w:val="28"/>
          <w:lang w:eastAsia="fr-BE"/>
        </w:rPr>
      </w:pPr>
    </w:p>
    <w:p w14:paraId="2D27F620" w14:textId="77777777" w:rsidR="00130C84" w:rsidRDefault="00130C84" w:rsidP="00C3394C">
      <w:pPr>
        <w:pStyle w:val="Paragraphedeliste"/>
        <w:numPr>
          <w:ilvl w:val="0"/>
          <w:numId w:val="3"/>
        </w:numPr>
        <w:jc w:val="both"/>
        <w:rPr>
          <w:rFonts w:ascii="Cambria" w:eastAsia="Times New Roman" w:hAnsi="Cambria" w:cs="Times New Roman"/>
          <w:b/>
          <w:bCs/>
          <w:sz w:val="28"/>
          <w:szCs w:val="28"/>
          <w:lang w:eastAsia="fr-BE"/>
        </w:rPr>
      </w:pPr>
      <w:r w:rsidRPr="00130C84">
        <w:rPr>
          <w:rFonts w:ascii="Cambria" w:eastAsia="Times New Roman" w:hAnsi="Cambria" w:cs="Times New Roman"/>
          <w:b/>
          <w:bCs/>
          <w:sz w:val="28"/>
          <w:szCs w:val="28"/>
          <w:lang w:eastAsia="fr-BE"/>
        </w:rPr>
        <w:t xml:space="preserve">INTRODUCTION </w:t>
      </w:r>
    </w:p>
    <w:p w14:paraId="7119F5E6" w14:textId="77777777" w:rsidR="00130C84" w:rsidRPr="00130C84" w:rsidRDefault="00130C84" w:rsidP="00C3394C">
      <w:pPr>
        <w:ind w:left="360"/>
        <w:jc w:val="both"/>
        <w:rPr>
          <w:rFonts w:ascii="Cambria" w:eastAsia="Times New Roman" w:hAnsi="Cambria" w:cs="Times New Roman"/>
          <w:bCs/>
          <w:sz w:val="28"/>
          <w:szCs w:val="28"/>
          <w:lang w:eastAsia="fr-BE"/>
        </w:rPr>
      </w:pPr>
    </w:p>
    <w:p w14:paraId="0BFB7550" w14:textId="10C89C1D" w:rsidR="00130C84" w:rsidRDefault="00130C84" w:rsidP="00C3394C">
      <w:pPr>
        <w:ind w:left="360"/>
        <w:jc w:val="both"/>
        <w:rPr>
          <w:rFonts w:ascii="Cambria" w:eastAsia="Times New Roman" w:hAnsi="Cambria" w:cs="Times New Roman"/>
          <w:bCs/>
          <w:sz w:val="28"/>
          <w:szCs w:val="28"/>
          <w:lang w:eastAsia="fr-BE"/>
        </w:rPr>
      </w:pP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xml:space="preserve"> est fier d'annoncer le lancement</w:t>
      </w:r>
      <w:r w:rsidR="00A67421">
        <w:rPr>
          <w:rFonts w:ascii="Cambria" w:eastAsia="Times New Roman" w:hAnsi="Cambria" w:cs="Times New Roman"/>
          <w:bCs/>
          <w:sz w:val="28"/>
          <w:szCs w:val="28"/>
          <w:lang w:eastAsia="fr-BE"/>
        </w:rPr>
        <w:t xml:space="preserve"> de ses nouveaux </w:t>
      </w:r>
      <w:proofErr w:type="spellStart"/>
      <w:r w:rsidR="00A67421">
        <w:rPr>
          <w:rFonts w:ascii="Cambria" w:eastAsia="Times New Roman" w:hAnsi="Cambria" w:cs="Times New Roman"/>
          <w:bCs/>
          <w:sz w:val="28"/>
          <w:szCs w:val="28"/>
          <w:lang w:eastAsia="fr-BE"/>
        </w:rPr>
        <w:t>Shield</w:t>
      </w:r>
      <w:proofErr w:type="spellEnd"/>
      <w:r w:rsidR="00A67421">
        <w:rPr>
          <w:rFonts w:ascii="Cambria" w:eastAsia="Times New Roman" w:hAnsi="Cambria" w:cs="Times New Roman"/>
          <w:bCs/>
          <w:sz w:val="28"/>
          <w:szCs w:val="28"/>
          <w:lang w:eastAsia="fr-BE"/>
        </w:rPr>
        <w:t xml:space="preserve"> </w:t>
      </w:r>
      <w:proofErr w:type="spellStart"/>
      <w:r w:rsidR="00A67421">
        <w:rPr>
          <w:rFonts w:ascii="Cambria" w:eastAsia="Times New Roman" w:hAnsi="Cambria" w:cs="Times New Roman"/>
          <w:bCs/>
          <w:sz w:val="28"/>
          <w:szCs w:val="28"/>
          <w:lang w:eastAsia="fr-BE"/>
        </w:rPr>
        <w:t>Awards</w:t>
      </w:r>
      <w:proofErr w:type="spellEnd"/>
      <w:r w:rsidR="00A67421">
        <w:rPr>
          <w:rFonts w:ascii="Cambria" w:eastAsia="Times New Roman" w:hAnsi="Cambria" w:cs="Times New Roman"/>
          <w:bCs/>
          <w:sz w:val="28"/>
          <w:szCs w:val="28"/>
          <w:lang w:eastAsia="fr-BE"/>
        </w:rPr>
        <w:t>.</w:t>
      </w:r>
    </w:p>
    <w:p w14:paraId="48D0422C" w14:textId="77777777" w:rsidR="00130C84" w:rsidRPr="00130C84" w:rsidRDefault="00130C84" w:rsidP="00C3394C">
      <w:pPr>
        <w:ind w:left="360"/>
        <w:jc w:val="both"/>
        <w:rPr>
          <w:rFonts w:ascii="Cambria" w:eastAsia="Times New Roman" w:hAnsi="Cambria" w:cs="Times New Roman"/>
          <w:bCs/>
          <w:sz w:val="28"/>
          <w:szCs w:val="28"/>
          <w:lang w:eastAsia="fr-BE"/>
        </w:rPr>
      </w:pPr>
    </w:p>
    <w:p w14:paraId="78877017" w14:textId="77777777" w:rsidR="00130C84" w:rsidRDefault="00130C84" w:rsidP="00C3394C">
      <w:pPr>
        <w:ind w:left="360"/>
        <w:jc w:val="both"/>
        <w:rPr>
          <w:rFonts w:ascii="Cambria" w:eastAsia="Times New Roman" w:hAnsi="Cambria" w:cs="Times New Roman"/>
          <w:bCs/>
          <w:sz w:val="28"/>
          <w:szCs w:val="28"/>
          <w:lang w:eastAsia="fr-BE"/>
        </w:rPr>
      </w:pPr>
      <w:r w:rsidRPr="00130C84">
        <w:rPr>
          <w:rFonts w:ascii="Cambria" w:eastAsia="Times New Roman" w:hAnsi="Cambria" w:cs="Times New Roman"/>
          <w:bCs/>
          <w:sz w:val="28"/>
          <w:szCs w:val="28"/>
          <w:lang w:eastAsia="fr-BE"/>
        </w:rPr>
        <w:t xml:space="preserve">Nos experts </w:t>
      </w:r>
      <w:r>
        <w:rPr>
          <w:rFonts w:ascii="Cambria" w:eastAsia="Times New Roman" w:hAnsi="Cambria" w:cs="Times New Roman"/>
          <w:bCs/>
          <w:sz w:val="28"/>
          <w:szCs w:val="28"/>
          <w:lang w:eastAsia="fr-BE"/>
        </w:rPr>
        <w:t>industriels</w:t>
      </w:r>
      <w:r w:rsidRPr="00130C84">
        <w:rPr>
          <w:rFonts w:ascii="Cambria" w:eastAsia="Times New Roman" w:hAnsi="Cambria" w:cs="Times New Roman"/>
          <w:bCs/>
          <w:sz w:val="28"/>
          <w:szCs w:val="28"/>
          <w:lang w:eastAsia="fr-BE"/>
        </w:rPr>
        <w:t xml:space="preserve"> de l'équipe </w:t>
      </w: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xml:space="preserve"> Consulting, le groupe professionnel de services de sécurité alimentaire et de gestion des risques de </w:t>
      </w: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ont travaillé en étroite collaboration pour fournir à nos clients une solution unique</w:t>
      </w:r>
      <w:r>
        <w:rPr>
          <w:rFonts w:ascii="Cambria" w:eastAsia="Times New Roman" w:hAnsi="Cambria" w:cs="Times New Roman"/>
          <w:bCs/>
          <w:sz w:val="28"/>
          <w:szCs w:val="28"/>
          <w:lang w:eastAsia="fr-BE"/>
        </w:rPr>
        <w:t xml:space="preserve"> de bout en bout</w:t>
      </w:r>
      <w:r w:rsidR="00387AC3">
        <w:rPr>
          <w:rFonts w:ascii="Cambria" w:eastAsia="Times New Roman" w:hAnsi="Cambria" w:cs="Times New Roman"/>
          <w:bCs/>
          <w:sz w:val="28"/>
          <w:szCs w:val="28"/>
          <w:lang w:eastAsia="fr-BE"/>
        </w:rPr>
        <w:t>. Les services fournis  proposent</w:t>
      </w:r>
      <w:r w:rsidRPr="00130C84">
        <w:rPr>
          <w:rFonts w:ascii="Cambria" w:eastAsia="Times New Roman" w:hAnsi="Cambria" w:cs="Times New Roman"/>
          <w:bCs/>
          <w:sz w:val="28"/>
          <w:szCs w:val="28"/>
          <w:lang w:eastAsia="fr-BE"/>
        </w:rPr>
        <w:t xml:space="preserve"> une vérification globale de la sécurité de vos opérations pour </w:t>
      </w:r>
      <w:r w:rsidR="00387AC3">
        <w:rPr>
          <w:rFonts w:ascii="Cambria" w:eastAsia="Times New Roman" w:hAnsi="Cambria" w:cs="Times New Roman"/>
          <w:bCs/>
          <w:sz w:val="28"/>
          <w:szCs w:val="28"/>
          <w:lang w:eastAsia="fr-BE"/>
        </w:rPr>
        <w:t>le Covid-19 et/</w:t>
      </w:r>
      <w:r w:rsidRPr="00130C84">
        <w:rPr>
          <w:rFonts w:ascii="Cambria" w:eastAsia="Times New Roman" w:hAnsi="Cambria" w:cs="Times New Roman"/>
          <w:bCs/>
          <w:sz w:val="28"/>
          <w:szCs w:val="28"/>
          <w:lang w:eastAsia="fr-BE"/>
        </w:rPr>
        <w:t xml:space="preserve">ou la sécurité alimentaire. </w:t>
      </w:r>
    </w:p>
    <w:p w14:paraId="7EE427F3" w14:textId="77777777" w:rsidR="00130C84" w:rsidRDefault="00130C84" w:rsidP="00C3394C">
      <w:pPr>
        <w:ind w:left="360"/>
        <w:jc w:val="both"/>
        <w:rPr>
          <w:rFonts w:ascii="Cambria" w:eastAsia="Times New Roman" w:hAnsi="Cambria" w:cs="Times New Roman"/>
          <w:bCs/>
          <w:sz w:val="28"/>
          <w:szCs w:val="28"/>
          <w:lang w:eastAsia="fr-BE"/>
        </w:rPr>
      </w:pPr>
    </w:p>
    <w:p w14:paraId="11DD9063" w14:textId="77777777" w:rsidR="00387AC3" w:rsidRDefault="00130C84" w:rsidP="00C3394C">
      <w:pPr>
        <w:ind w:left="360"/>
        <w:jc w:val="both"/>
        <w:rPr>
          <w:rFonts w:ascii="Cambria" w:eastAsia="Times New Roman" w:hAnsi="Cambria" w:cs="Times New Roman"/>
          <w:bCs/>
          <w:sz w:val="28"/>
          <w:szCs w:val="28"/>
          <w:lang w:eastAsia="fr-BE"/>
        </w:rPr>
      </w:pPr>
      <w:r w:rsidRPr="00130C84">
        <w:rPr>
          <w:rFonts w:ascii="Cambria" w:eastAsia="Times New Roman" w:hAnsi="Cambria" w:cs="Times New Roman"/>
          <w:bCs/>
          <w:sz w:val="28"/>
          <w:szCs w:val="28"/>
          <w:lang w:eastAsia="fr-BE"/>
        </w:rPr>
        <w:t xml:space="preserve">Au sein de </w:t>
      </w: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xml:space="preserve"> Consulting, il existe deux </w:t>
      </w:r>
      <w:proofErr w:type="spellStart"/>
      <w:r w:rsidRPr="00130C84">
        <w:rPr>
          <w:rFonts w:ascii="Cambria" w:eastAsia="Times New Roman" w:hAnsi="Cambria" w:cs="Times New Roman"/>
          <w:bCs/>
          <w:sz w:val="28"/>
          <w:szCs w:val="28"/>
          <w:lang w:eastAsia="fr-BE"/>
        </w:rPr>
        <w:t>Shield</w:t>
      </w:r>
      <w:proofErr w:type="spellEnd"/>
      <w:r w:rsidRPr="00130C84">
        <w:rPr>
          <w:rFonts w:ascii="Cambria" w:eastAsia="Times New Roman" w:hAnsi="Cambria" w:cs="Times New Roman"/>
          <w:bCs/>
          <w:sz w:val="28"/>
          <w:szCs w:val="28"/>
          <w:lang w:eastAsia="fr-BE"/>
        </w:rPr>
        <w:t xml:space="preserve"> </w:t>
      </w:r>
      <w:proofErr w:type="spellStart"/>
      <w:r w:rsidRPr="00130C84">
        <w:rPr>
          <w:rFonts w:ascii="Cambria" w:eastAsia="Times New Roman" w:hAnsi="Cambria" w:cs="Times New Roman"/>
          <w:bCs/>
          <w:sz w:val="28"/>
          <w:szCs w:val="28"/>
          <w:lang w:eastAsia="fr-BE"/>
        </w:rPr>
        <w:t>Awards</w:t>
      </w:r>
      <w:proofErr w:type="spellEnd"/>
      <w:r w:rsidRPr="00130C84">
        <w:rPr>
          <w:rFonts w:ascii="Cambria" w:eastAsia="Times New Roman" w:hAnsi="Cambria" w:cs="Times New Roman"/>
          <w:bCs/>
          <w:sz w:val="28"/>
          <w:szCs w:val="28"/>
          <w:lang w:eastAsia="fr-BE"/>
        </w:rPr>
        <w:t xml:space="preserve"> différents. </w:t>
      </w:r>
    </w:p>
    <w:p w14:paraId="7BF8EA39" w14:textId="77777777" w:rsidR="00387AC3" w:rsidRDefault="00387AC3" w:rsidP="00C3394C">
      <w:pPr>
        <w:ind w:left="360"/>
        <w:jc w:val="both"/>
        <w:rPr>
          <w:rFonts w:ascii="Cambria" w:eastAsia="Times New Roman" w:hAnsi="Cambria" w:cs="Times New Roman"/>
          <w:bCs/>
          <w:sz w:val="28"/>
          <w:szCs w:val="28"/>
          <w:lang w:eastAsia="fr-BE"/>
        </w:rPr>
      </w:pPr>
    </w:p>
    <w:p w14:paraId="173E78C2" w14:textId="77777777" w:rsidR="00387AC3" w:rsidRDefault="00130C84" w:rsidP="00C3394C">
      <w:pPr>
        <w:ind w:left="360"/>
        <w:jc w:val="both"/>
        <w:rPr>
          <w:rFonts w:ascii="Cambria" w:eastAsia="Times New Roman" w:hAnsi="Cambria" w:cs="Times New Roman"/>
          <w:bCs/>
          <w:sz w:val="28"/>
          <w:szCs w:val="28"/>
          <w:lang w:eastAsia="fr-BE"/>
        </w:rPr>
      </w:pPr>
      <w:r w:rsidRPr="00130C84">
        <w:rPr>
          <w:rFonts w:ascii="Cambria" w:eastAsia="Times New Roman" w:hAnsi="Cambria" w:cs="Times New Roman"/>
          <w:bCs/>
          <w:sz w:val="28"/>
          <w:szCs w:val="28"/>
          <w:lang w:eastAsia="fr-BE"/>
        </w:rPr>
        <w:t xml:space="preserve">1. Programme de sécurité COVID (décerné par </w:t>
      </w: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xml:space="preserve"> Consulting) </w:t>
      </w:r>
    </w:p>
    <w:p w14:paraId="52AB5B41" w14:textId="77777777" w:rsidR="00387AC3" w:rsidRDefault="00130C84" w:rsidP="00C3394C">
      <w:pPr>
        <w:ind w:left="360"/>
        <w:jc w:val="both"/>
        <w:rPr>
          <w:rFonts w:ascii="Cambria" w:eastAsia="Times New Roman" w:hAnsi="Cambria" w:cs="Times New Roman"/>
          <w:bCs/>
          <w:sz w:val="28"/>
          <w:szCs w:val="28"/>
          <w:lang w:eastAsia="fr-BE"/>
        </w:rPr>
      </w:pPr>
      <w:r w:rsidRPr="00130C84">
        <w:rPr>
          <w:rFonts w:ascii="Cambria" w:eastAsia="Times New Roman" w:hAnsi="Cambria" w:cs="Times New Roman"/>
          <w:bCs/>
          <w:sz w:val="28"/>
          <w:szCs w:val="28"/>
          <w:lang w:eastAsia="fr-BE"/>
        </w:rPr>
        <w:t xml:space="preserve">2. Programme de </w:t>
      </w:r>
      <w:r w:rsidR="00387AC3">
        <w:rPr>
          <w:rFonts w:ascii="Cambria" w:eastAsia="Times New Roman" w:hAnsi="Cambria" w:cs="Times New Roman"/>
          <w:bCs/>
          <w:sz w:val="28"/>
          <w:szCs w:val="28"/>
          <w:lang w:eastAsia="fr-BE"/>
        </w:rPr>
        <w:t xml:space="preserve">sécurité alimentaire (décerné par </w:t>
      </w:r>
      <w:proofErr w:type="spellStart"/>
      <w:r w:rsidR="00387AC3">
        <w:rPr>
          <w:rFonts w:ascii="Cambria" w:eastAsia="Times New Roman" w:hAnsi="Cambria" w:cs="Times New Roman"/>
          <w:bCs/>
          <w:sz w:val="28"/>
          <w:szCs w:val="28"/>
          <w:lang w:eastAsia="fr-BE"/>
        </w:rPr>
        <w:t>Diversey</w:t>
      </w:r>
      <w:proofErr w:type="spellEnd"/>
      <w:r w:rsidR="00387AC3">
        <w:rPr>
          <w:rFonts w:ascii="Cambria" w:eastAsia="Times New Roman" w:hAnsi="Cambria" w:cs="Times New Roman"/>
          <w:bCs/>
          <w:sz w:val="28"/>
          <w:szCs w:val="28"/>
          <w:lang w:eastAsia="fr-BE"/>
        </w:rPr>
        <w:t xml:space="preserve"> </w:t>
      </w:r>
      <w:r w:rsidRPr="00130C84">
        <w:rPr>
          <w:rFonts w:ascii="Cambria" w:eastAsia="Times New Roman" w:hAnsi="Cambria" w:cs="Times New Roman"/>
          <w:bCs/>
          <w:sz w:val="28"/>
          <w:szCs w:val="28"/>
          <w:lang w:eastAsia="fr-BE"/>
        </w:rPr>
        <w:t xml:space="preserve">Consulting)  </w:t>
      </w:r>
    </w:p>
    <w:p w14:paraId="12D8AFF9" w14:textId="77777777" w:rsidR="00387AC3" w:rsidRDefault="00387AC3" w:rsidP="00C3394C">
      <w:pPr>
        <w:ind w:left="360"/>
        <w:jc w:val="both"/>
        <w:rPr>
          <w:rFonts w:ascii="Cambria" w:eastAsia="Times New Roman" w:hAnsi="Cambria" w:cs="Times New Roman"/>
          <w:bCs/>
          <w:sz w:val="28"/>
          <w:szCs w:val="28"/>
          <w:lang w:eastAsia="fr-BE"/>
        </w:rPr>
      </w:pPr>
    </w:p>
    <w:p w14:paraId="1DE39164" w14:textId="51EB9385" w:rsidR="00387AC3" w:rsidRDefault="00130C84" w:rsidP="00C3394C">
      <w:pPr>
        <w:ind w:left="360"/>
        <w:jc w:val="both"/>
        <w:rPr>
          <w:rFonts w:ascii="Cambria" w:eastAsia="Times New Roman" w:hAnsi="Cambria" w:cs="Times New Roman"/>
          <w:bCs/>
          <w:sz w:val="28"/>
          <w:szCs w:val="28"/>
          <w:lang w:eastAsia="fr-BE"/>
        </w:rPr>
      </w:pPr>
      <w:r w:rsidRPr="00130C84">
        <w:rPr>
          <w:rFonts w:ascii="Cambria" w:eastAsia="Times New Roman" w:hAnsi="Cambria" w:cs="Times New Roman"/>
          <w:bCs/>
          <w:sz w:val="28"/>
          <w:szCs w:val="28"/>
          <w:lang w:eastAsia="fr-BE"/>
        </w:rPr>
        <w:t>Chacun des boucliers comporte son pro</w:t>
      </w:r>
      <w:r w:rsidR="00676A65">
        <w:rPr>
          <w:rFonts w:ascii="Cambria" w:eastAsia="Times New Roman" w:hAnsi="Cambria" w:cs="Times New Roman"/>
          <w:bCs/>
          <w:sz w:val="28"/>
          <w:szCs w:val="28"/>
          <w:lang w:eastAsia="fr-BE"/>
        </w:rPr>
        <w:t xml:space="preserve">pre ensemble d'exigences pour son </w:t>
      </w:r>
      <w:r w:rsidRPr="00130C84">
        <w:rPr>
          <w:rFonts w:ascii="Cambria" w:eastAsia="Times New Roman" w:hAnsi="Cambria" w:cs="Times New Roman"/>
          <w:bCs/>
          <w:sz w:val="28"/>
          <w:szCs w:val="28"/>
          <w:lang w:eastAsia="fr-BE"/>
        </w:rPr>
        <w:t xml:space="preserve">attribution. Le bouclier du programme de sécurité </w:t>
      </w:r>
      <w:proofErr w:type="spellStart"/>
      <w:r w:rsidRPr="00130C84">
        <w:rPr>
          <w:rFonts w:ascii="Cambria" w:eastAsia="Times New Roman" w:hAnsi="Cambria" w:cs="Times New Roman"/>
          <w:bCs/>
          <w:sz w:val="28"/>
          <w:szCs w:val="28"/>
          <w:lang w:eastAsia="fr-BE"/>
        </w:rPr>
        <w:t>Covid</w:t>
      </w:r>
      <w:proofErr w:type="spellEnd"/>
      <w:r w:rsidRPr="00130C84">
        <w:rPr>
          <w:rFonts w:ascii="Cambria" w:eastAsia="Times New Roman" w:hAnsi="Cambria" w:cs="Times New Roman"/>
          <w:bCs/>
          <w:sz w:val="28"/>
          <w:szCs w:val="28"/>
          <w:lang w:eastAsia="fr-BE"/>
        </w:rPr>
        <w:t xml:space="preserve"> ou le bouclier du programme de sécurité alimentaire correspondant sera attribué à la réussite des audits de vérification externe. Une fois inscrites en tant que membre du programme </w:t>
      </w:r>
      <w:proofErr w:type="spellStart"/>
      <w:r w:rsidRPr="00130C84">
        <w:rPr>
          <w:rFonts w:ascii="Cambria" w:eastAsia="Times New Roman" w:hAnsi="Cambria" w:cs="Times New Roman"/>
          <w:bCs/>
          <w:sz w:val="28"/>
          <w:szCs w:val="28"/>
          <w:lang w:eastAsia="fr-BE"/>
        </w:rPr>
        <w:t>Shield</w:t>
      </w:r>
      <w:proofErr w:type="spellEnd"/>
      <w:r w:rsidRPr="00130C84">
        <w:rPr>
          <w:rFonts w:ascii="Cambria" w:eastAsia="Times New Roman" w:hAnsi="Cambria" w:cs="Times New Roman"/>
          <w:bCs/>
          <w:sz w:val="28"/>
          <w:szCs w:val="28"/>
          <w:lang w:eastAsia="fr-BE"/>
        </w:rPr>
        <w:t xml:space="preserve">, les entreprises subiront des audits périodiques pour vérifier qu'elles continuent à maintenir les normes de sécurité les plus élevées. </w:t>
      </w:r>
    </w:p>
    <w:p w14:paraId="3E4D6A11" w14:textId="77777777" w:rsidR="00387AC3" w:rsidRDefault="00387AC3" w:rsidP="00C3394C">
      <w:pPr>
        <w:ind w:left="360"/>
        <w:jc w:val="both"/>
        <w:rPr>
          <w:rFonts w:ascii="Cambria" w:eastAsia="Times New Roman" w:hAnsi="Cambria" w:cs="Times New Roman"/>
          <w:bCs/>
          <w:sz w:val="28"/>
          <w:szCs w:val="28"/>
          <w:lang w:eastAsia="fr-BE"/>
        </w:rPr>
      </w:pPr>
    </w:p>
    <w:p w14:paraId="3AEAE59E" w14:textId="3F3162C5" w:rsidR="00387AC3" w:rsidRDefault="00130C84" w:rsidP="00C3394C">
      <w:pPr>
        <w:ind w:left="360"/>
        <w:jc w:val="both"/>
        <w:rPr>
          <w:rFonts w:ascii="Cambria" w:eastAsia="Times New Roman" w:hAnsi="Cambria" w:cs="Times New Roman"/>
          <w:bCs/>
          <w:sz w:val="28"/>
          <w:szCs w:val="28"/>
          <w:lang w:eastAsia="fr-BE"/>
        </w:rPr>
      </w:pPr>
      <w:r w:rsidRPr="00130C84">
        <w:rPr>
          <w:rFonts w:ascii="Cambria" w:eastAsia="Times New Roman" w:hAnsi="Cambria" w:cs="Times New Roman"/>
          <w:bCs/>
          <w:sz w:val="28"/>
          <w:szCs w:val="28"/>
          <w:lang w:eastAsia="fr-BE"/>
        </w:rPr>
        <w:t xml:space="preserve">Le bouclier peut être affiché en évidence </w:t>
      </w:r>
      <w:r w:rsidR="00676A65">
        <w:rPr>
          <w:rFonts w:ascii="Cambria" w:eastAsia="Times New Roman" w:hAnsi="Cambria" w:cs="Times New Roman"/>
          <w:bCs/>
          <w:sz w:val="28"/>
          <w:szCs w:val="28"/>
          <w:lang w:eastAsia="fr-BE"/>
        </w:rPr>
        <w:t>à la vue des clients</w:t>
      </w:r>
      <w:r w:rsidRPr="00130C84">
        <w:rPr>
          <w:rFonts w:ascii="Cambria" w:eastAsia="Times New Roman" w:hAnsi="Cambria" w:cs="Times New Roman"/>
          <w:bCs/>
          <w:sz w:val="28"/>
          <w:szCs w:val="28"/>
          <w:lang w:eastAsia="fr-BE"/>
        </w:rPr>
        <w:t xml:space="preserve"> sur la porte d'entrée ou en ligne sur un site Web d'entreprise ou une plateforme de </w:t>
      </w:r>
      <w:r w:rsidRPr="00130C84">
        <w:rPr>
          <w:rFonts w:ascii="Cambria" w:eastAsia="Times New Roman" w:hAnsi="Cambria" w:cs="Times New Roman"/>
          <w:bCs/>
          <w:sz w:val="28"/>
          <w:szCs w:val="28"/>
          <w:lang w:eastAsia="fr-BE"/>
        </w:rPr>
        <w:lastRenderedPageBreak/>
        <w:t xml:space="preserve">médias sociaux. Les boucliers </w:t>
      </w: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xml:space="preserve"> Consulting sont la propriété de </w:t>
      </w: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xml:space="preserve"> INC. </w:t>
      </w:r>
    </w:p>
    <w:p w14:paraId="6077B743" w14:textId="77777777" w:rsidR="00387AC3" w:rsidRDefault="00387AC3" w:rsidP="00C3394C">
      <w:pPr>
        <w:ind w:left="360"/>
        <w:jc w:val="both"/>
        <w:rPr>
          <w:rFonts w:ascii="Cambria" w:eastAsia="Times New Roman" w:hAnsi="Cambria" w:cs="Times New Roman"/>
          <w:bCs/>
          <w:sz w:val="28"/>
          <w:szCs w:val="28"/>
          <w:lang w:eastAsia="fr-BE"/>
        </w:rPr>
      </w:pPr>
    </w:p>
    <w:p w14:paraId="1BCB54B4" w14:textId="77777777" w:rsidR="0046744A" w:rsidRDefault="00130C84" w:rsidP="00C3394C">
      <w:pPr>
        <w:ind w:left="360"/>
        <w:jc w:val="both"/>
        <w:rPr>
          <w:rFonts w:ascii="Cambria" w:eastAsia="Times New Roman" w:hAnsi="Cambria" w:cs="Times New Roman"/>
          <w:bCs/>
          <w:sz w:val="28"/>
          <w:szCs w:val="28"/>
          <w:lang w:eastAsia="fr-BE"/>
        </w:rPr>
      </w:pPr>
      <w:r w:rsidRPr="00130C84">
        <w:rPr>
          <w:rFonts w:ascii="Cambria" w:eastAsia="Times New Roman" w:hAnsi="Cambria" w:cs="Times New Roman"/>
          <w:bCs/>
          <w:sz w:val="28"/>
          <w:szCs w:val="28"/>
          <w:lang w:eastAsia="fr-BE"/>
        </w:rPr>
        <w:t>Ce document d'orientation décrit les termes et condi</w:t>
      </w:r>
      <w:r w:rsidR="00A67421">
        <w:rPr>
          <w:rFonts w:ascii="Cambria" w:eastAsia="Times New Roman" w:hAnsi="Cambria" w:cs="Times New Roman"/>
          <w:bCs/>
          <w:sz w:val="28"/>
          <w:szCs w:val="28"/>
          <w:lang w:eastAsia="fr-BE"/>
        </w:rPr>
        <w:t>tions des</w:t>
      </w:r>
      <w:r w:rsidRPr="00130C84">
        <w:rPr>
          <w:rFonts w:ascii="Cambria" w:eastAsia="Times New Roman" w:hAnsi="Cambria" w:cs="Times New Roman"/>
          <w:bCs/>
          <w:sz w:val="28"/>
          <w:szCs w:val="28"/>
          <w:lang w:eastAsia="fr-BE"/>
        </w:rPr>
        <w:t xml:space="preserve"> bouclier</w:t>
      </w:r>
      <w:r w:rsidR="00A67421">
        <w:rPr>
          <w:rFonts w:ascii="Cambria" w:eastAsia="Times New Roman" w:hAnsi="Cambria" w:cs="Times New Roman"/>
          <w:bCs/>
          <w:sz w:val="28"/>
          <w:szCs w:val="28"/>
          <w:lang w:eastAsia="fr-BE"/>
        </w:rPr>
        <w:t>s</w:t>
      </w:r>
      <w:r w:rsidRPr="00130C84">
        <w:rPr>
          <w:rFonts w:ascii="Cambria" w:eastAsia="Times New Roman" w:hAnsi="Cambria" w:cs="Times New Roman"/>
          <w:bCs/>
          <w:sz w:val="28"/>
          <w:szCs w:val="28"/>
          <w:lang w:eastAsia="fr-BE"/>
        </w:rPr>
        <w:t xml:space="preserve"> qui sont attribués par </w:t>
      </w:r>
      <w:proofErr w:type="spellStart"/>
      <w:r w:rsidRPr="00130C84">
        <w:rPr>
          <w:rFonts w:ascii="Cambria" w:eastAsia="Times New Roman" w:hAnsi="Cambria" w:cs="Times New Roman"/>
          <w:bCs/>
          <w:sz w:val="28"/>
          <w:szCs w:val="28"/>
          <w:lang w:eastAsia="fr-BE"/>
        </w:rPr>
        <w:t>Diversey</w:t>
      </w:r>
      <w:proofErr w:type="spellEnd"/>
      <w:r w:rsidRPr="00130C84">
        <w:rPr>
          <w:rFonts w:ascii="Cambria" w:eastAsia="Times New Roman" w:hAnsi="Cambria" w:cs="Times New Roman"/>
          <w:bCs/>
          <w:sz w:val="28"/>
          <w:szCs w:val="28"/>
          <w:lang w:eastAsia="fr-BE"/>
        </w:rPr>
        <w:t xml:space="preserve"> Consulting.</w:t>
      </w:r>
      <w:bookmarkStart w:id="1" w:name="_Toc44930843"/>
    </w:p>
    <w:p w14:paraId="7724ADB0" w14:textId="77777777" w:rsidR="0046744A" w:rsidRDefault="0046744A" w:rsidP="00C3394C">
      <w:pPr>
        <w:ind w:left="360"/>
        <w:jc w:val="both"/>
        <w:rPr>
          <w:rFonts w:ascii="Cambria" w:eastAsia="Times New Roman" w:hAnsi="Cambria" w:cs="Times New Roman"/>
          <w:bCs/>
          <w:sz w:val="28"/>
          <w:szCs w:val="28"/>
          <w:lang w:eastAsia="fr-BE"/>
        </w:rPr>
      </w:pPr>
    </w:p>
    <w:p w14:paraId="6752C404" w14:textId="77777777" w:rsidR="00AD1594" w:rsidRDefault="00A67421" w:rsidP="00C3394C">
      <w:pPr>
        <w:ind w:left="360"/>
        <w:jc w:val="both"/>
        <w:rPr>
          <w:rFonts w:ascii="Cambria" w:eastAsia="Times New Roman" w:hAnsi="Cambria" w:cs="Times New Roman"/>
          <w:b/>
          <w:sz w:val="28"/>
          <w:szCs w:val="28"/>
          <w:lang w:eastAsia="fr-BE"/>
        </w:rPr>
      </w:pPr>
      <w:r w:rsidRPr="0046744A">
        <w:rPr>
          <w:rFonts w:ascii="Cambria" w:eastAsia="Times New Roman" w:hAnsi="Cambria" w:cs="Times New Roman"/>
          <w:b/>
          <w:sz w:val="28"/>
          <w:szCs w:val="28"/>
          <w:lang w:eastAsia="fr-BE"/>
        </w:rPr>
        <w:t xml:space="preserve">2. CRITÈRES PAR BOUCLIER </w:t>
      </w:r>
    </w:p>
    <w:p w14:paraId="6585F0DD" w14:textId="77777777" w:rsidR="00AD1594" w:rsidRDefault="00AD1594" w:rsidP="00C3394C">
      <w:pPr>
        <w:ind w:left="360"/>
        <w:jc w:val="both"/>
        <w:rPr>
          <w:rFonts w:ascii="Cambria" w:eastAsia="Times New Roman" w:hAnsi="Cambria" w:cs="Times New Roman"/>
          <w:b/>
          <w:sz w:val="28"/>
          <w:szCs w:val="28"/>
          <w:lang w:eastAsia="fr-BE"/>
        </w:rPr>
      </w:pPr>
    </w:p>
    <w:p w14:paraId="78A00641" w14:textId="77777777" w:rsidR="00AD1594" w:rsidRDefault="00A67421" w:rsidP="00C3394C">
      <w:pPr>
        <w:ind w:left="360"/>
        <w:jc w:val="both"/>
        <w:rPr>
          <w:rFonts w:ascii="Cambria" w:eastAsia="Times New Roman" w:hAnsi="Cambria" w:cs="Times New Roman"/>
          <w:b/>
          <w:sz w:val="28"/>
          <w:szCs w:val="28"/>
          <w:lang w:eastAsia="fr-BE"/>
        </w:rPr>
      </w:pPr>
      <w:r w:rsidRPr="00AD1594">
        <w:rPr>
          <w:rFonts w:ascii="Cambria" w:eastAsia="Times New Roman" w:hAnsi="Cambria" w:cs="Times New Roman"/>
          <w:b/>
          <w:sz w:val="28"/>
          <w:szCs w:val="28"/>
          <w:lang w:eastAsia="fr-BE"/>
        </w:rPr>
        <w:t>2.1 Le bouclier d</w:t>
      </w:r>
      <w:r w:rsidR="0046744A" w:rsidRPr="00AD1594">
        <w:rPr>
          <w:rFonts w:ascii="Cambria" w:eastAsia="Times New Roman" w:hAnsi="Cambria" w:cs="Times New Roman"/>
          <w:b/>
          <w:sz w:val="28"/>
          <w:szCs w:val="28"/>
          <w:lang w:eastAsia="fr-BE"/>
        </w:rPr>
        <w:t>e sécurité alimentaire - validé</w:t>
      </w:r>
      <w:r w:rsidRPr="00AD1594">
        <w:rPr>
          <w:rFonts w:ascii="Cambria" w:eastAsia="Times New Roman" w:hAnsi="Cambria" w:cs="Times New Roman"/>
          <w:b/>
          <w:sz w:val="28"/>
          <w:szCs w:val="28"/>
          <w:lang w:eastAsia="fr-BE"/>
        </w:rPr>
        <w:t xml:space="preserve"> par </w:t>
      </w:r>
      <w:proofErr w:type="spellStart"/>
      <w:r w:rsidRPr="00AD1594">
        <w:rPr>
          <w:rFonts w:ascii="Cambria" w:eastAsia="Times New Roman" w:hAnsi="Cambria" w:cs="Times New Roman"/>
          <w:b/>
          <w:sz w:val="28"/>
          <w:szCs w:val="28"/>
          <w:lang w:eastAsia="fr-BE"/>
        </w:rPr>
        <w:t>Diversey</w:t>
      </w:r>
      <w:proofErr w:type="spellEnd"/>
      <w:r w:rsidRPr="00AD1594">
        <w:rPr>
          <w:rFonts w:ascii="Cambria" w:eastAsia="Times New Roman" w:hAnsi="Cambria" w:cs="Times New Roman"/>
          <w:b/>
          <w:sz w:val="28"/>
          <w:szCs w:val="28"/>
          <w:lang w:eastAsia="fr-BE"/>
        </w:rPr>
        <w:t xml:space="preserve"> </w:t>
      </w:r>
      <w:r w:rsidR="0046744A" w:rsidRPr="00AD1594">
        <w:rPr>
          <w:rFonts w:ascii="Cambria" w:eastAsia="Times New Roman" w:hAnsi="Cambria" w:cs="Times New Roman"/>
          <w:b/>
          <w:sz w:val="28"/>
          <w:szCs w:val="28"/>
          <w:lang w:eastAsia="fr-BE"/>
        </w:rPr>
        <w:t>Consulting</w:t>
      </w:r>
    </w:p>
    <w:p w14:paraId="27C034F7" w14:textId="77777777" w:rsidR="00AD1594" w:rsidRDefault="00AD1594" w:rsidP="00C3394C">
      <w:pPr>
        <w:ind w:left="360"/>
        <w:jc w:val="both"/>
        <w:rPr>
          <w:rFonts w:ascii="Cambria" w:eastAsia="Times New Roman" w:hAnsi="Cambria" w:cs="Times New Roman"/>
          <w:b/>
          <w:sz w:val="28"/>
          <w:szCs w:val="28"/>
          <w:lang w:eastAsia="fr-BE"/>
        </w:rPr>
      </w:pPr>
    </w:p>
    <w:p w14:paraId="4A1BBE11" w14:textId="4F00BF1E" w:rsidR="00AD1594" w:rsidRDefault="004E3F53" w:rsidP="00C3394C">
      <w:pPr>
        <w:ind w:left="360"/>
        <w:jc w:val="both"/>
        <w:rPr>
          <w:rFonts w:ascii="Cambria" w:eastAsia="Times New Roman" w:hAnsi="Cambria" w:cs="Times New Roman"/>
          <w:sz w:val="28"/>
          <w:szCs w:val="28"/>
          <w:lang w:eastAsia="fr-BE"/>
        </w:rPr>
      </w:pPr>
      <w:r>
        <w:rPr>
          <w:rFonts w:ascii="Cambria" w:eastAsia="Times New Roman" w:hAnsi="Cambria" w:cs="Times New Roman"/>
          <w:sz w:val="28"/>
          <w:szCs w:val="28"/>
          <w:lang w:eastAsia="fr-BE"/>
        </w:rPr>
        <w:t>Le b</w:t>
      </w:r>
      <w:r w:rsidR="00A67421" w:rsidRPr="00AD1594">
        <w:rPr>
          <w:rFonts w:ascii="Cambria" w:eastAsia="Times New Roman" w:hAnsi="Cambria" w:cs="Times New Roman"/>
          <w:sz w:val="28"/>
          <w:szCs w:val="28"/>
          <w:lang w:eastAsia="fr-BE"/>
        </w:rPr>
        <w:t xml:space="preserve">ouclier de sécurité alimentaire - Vérifié par </w:t>
      </w:r>
      <w:proofErr w:type="spellStart"/>
      <w:r w:rsidR="00A67421" w:rsidRPr="00AD1594">
        <w:rPr>
          <w:rFonts w:ascii="Cambria" w:eastAsia="Times New Roman" w:hAnsi="Cambria" w:cs="Times New Roman"/>
          <w:sz w:val="28"/>
          <w:szCs w:val="28"/>
          <w:lang w:eastAsia="fr-BE"/>
        </w:rPr>
        <w:t>Diversey</w:t>
      </w:r>
      <w:proofErr w:type="spellEnd"/>
      <w:r w:rsidR="00A67421" w:rsidRPr="00AD1594">
        <w:rPr>
          <w:rFonts w:ascii="Cambria" w:eastAsia="Times New Roman" w:hAnsi="Cambria" w:cs="Times New Roman"/>
          <w:sz w:val="28"/>
          <w:szCs w:val="28"/>
          <w:lang w:eastAsia="fr-BE"/>
        </w:rPr>
        <w:t xml:space="preserve"> Consulting ne peut être attribué qu'au participant qui remplit ces conditions préalables</w:t>
      </w:r>
      <w:r w:rsidR="009B6A62">
        <w:rPr>
          <w:rFonts w:ascii="Cambria" w:eastAsia="Times New Roman" w:hAnsi="Cambria" w:cs="Times New Roman"/>
          <w:sz w:val="28"/>
          <w:szCs w:val="28"/>
          <w:lang w:eastAsia="fr-BE"/>
        </w:rPr>
        <w:t xml:space="preserve"> </w:t>
      </w:r>
      <w:r w:rsidR="00A67421" w:rsidRPr="00AD1594">
        <w:rPr>
          <w:rFonts w:ascii="Cambria" w:eastAsia="Times New Roman" w:hAnsi="Cambria" w:cs="Times New Roman"/>
          <w:sz w:val="28"/>
          <w:szCs w:val="28"/>
          <w:lang w:eastAsia="fr-BE"/>
        </w:rPr>
        <w:t xml:space="preserve">: </w:t>
      </w:r>
    </w:p>
    <w:p w14:paraId="25564CF2" w14:textId="77777777" w:rsidR="00AD1594" w:rsidRDefault="00AD1594" w:rsidP="00C3394C">
      <w:pPr>
        <w:ind w:left="360"/>
        <w:jc w:val="both"/>
        <w:rPr>
          <w:rFonts w:ascii="Cambria" w:eastAsia="Times New Roman" w:hAnsi="Cambria" w:cs="Times New Roman"/>
          <w:sz w:val="28"/>
          <w:szCs w:val="28"/>
          <w:lang w:eastAsia="fr-BE"/>
        </w:rPr>
      </w:pPr>
    </w:p>
    <w:p w14:paraId="00275E8F" w14:textId="77777777" w:rsidR="00AD1594" w:rsidRPr="009B6A62" w:rsidRDefault="00A67421" w:rsidP="00C3394C">
      <w:pPr>
        <w:ind w:left="360"/>
        <w:jc w:val="both"/>
        <w:rPr>
          <w:rFonts w:ascii="Cambria" w:eastAsia="Times New Roman" w:hAnsi="Cambria" w:cs="Times New Roman"/>
          <w:sz w:val="28"/>
          <w:szCs w:val="28"/>
          <w:lang w:eastAsia="fr-BE"/>
        </w:rPr>
      </w:pPr>
      <w:r w:rsidRPr="009B6A62">
        <w:rPr>
          <w:rFonts w:ascii="Cambria" w:eastAsia="Times New Roman" w:hAnsi="Cambria" w:cs="Times New Roman"/>
          <w:sz w:val="28"/>
          <w:szCs w:val="28"/>
          <w:lang w:eastAsia="fr-BE"/>
        </w:rPr>
        <w:t xml:space="preserve">• Un programme d'audit de la salubrité des aliments doit être en place (minimum de 2 audits qualifiés par an). Le bouclier ne sera pas émis rétroactivement. </w:t>
      </w:r>
    </w:p>
    <w:p w14:paraId="72D485F2" w14:textId="18CBB716" w:rsidR="00AD1594" w:rsidRPr="009B6A62" w:rsidRDefault="00A67421" w:rsidP="00C3394C">
      <w:pPr>
        <w:ind w:left="360"/>
        <w:jc w:val="both"/>
        <w:rPr>
          <w:rFonts w:ascii="Cambria" w:eastAsia="Times New Roman" w:hAnsi="Cambria" w:cs="Times New Roman"/>
          <w:sz w:val="28"/>
          <w:szCs w:val="28"/>
          <w:lang w:eastAsia="fr-BE"/>
        </w:rPr>
      </w:pPr>
      <w:r w:rsidRPr="009B6A62">
        <w:rPr>
          <w:rFonts w:ascii="Cambria" w:eastAsia="Times New Roman" w:hAnsi="Cambria" w:cs="Times New Roman"/>
          <w:sz w:val="28"/>
          <w:szCs w:val="28"/>
          <w:lang w:eastAsia="fr-BE"/>
        </w:rPr>
        <w:t>• Un audit qualifié doit contenir toutes les étapes du processus et les exigences du SMSDA (</w:t>
      </w:r>
      <w:r w:rsidR="00AD1594" w:rsidRPr="009B6A62">
        <w:rPr>
          <w:rFonts w:ascii="Cambria" w:eastAsia="Times New Roman" w:hAnsi="Cambria" w:cs="Times New Roman"/>
          <w:sz w:val="28"/>
          <w:szCs w:val="28"/>
          <w:lang w:eastAsia="fr-BE"/>
        </w:rPr>
        <w:t>S</w:t>
      </w:r>
      <w:r w:rsidR="00AD1594" w:rsidRPr="009B6A62">
        <w:rPr>
          <w:rFonts w:ascii="Cambria" w:eastAsia="Times New Roman" w:hAnsi="Cambria" w:cs="Times New Roman"/>
          <w:bCs/>
          <w:sz w:val="28"/>
          <w:szCs w:val="28"/>
          <w:lang w:eastAsia="fr-BE"/>
        </w:rPr>
        <w:t>ystème de </w:t>
      </w:r>
      <w:r w:rsidR="00AD1594" w:rsidRPr="009B6A62">
        <w:rPr>
          <w:rFonts w:ascii="Cambria" w:eastAsia="Times New Roman" w:hAnsi="Cambria" w:cs="Times New Roman"/>
          <w:sz w:val="28"/>
          <w:szCs w:val="28"/>
          <w:lang w:eastAsia="fr-BE"/>
        </w:rPr>
        <w:t>M</w:t>
      </w:r>
      <w:r w:rsidR="00AD1594" w:rsidRPr="009B6A62">
        <w:rPr>
          <w:rFonts w:ascii="Cambria" w:eastAsia="Times New Roman" w:hAnsi="Cambria" w:cs="Times New Roman"/>
          <w:bCs/>
          <w:sz w:val="28"/>
          <w:szCs w:val="28"/>
          <w:lang w:eastAsia="fr-BE"/>
        </w:rPr>
        <w:t>anagement </w:t>
      </w:r>
      <w:r w:rsidR="004E3F53">
        <w:rPr>
          <w:rFonts w:ascii="Cambria" w:eastAsia="Times New Roman" w:hAnsi="Cambria" w:cs="Times New Roman"/>
          <w:sz w:val="28"/>
          <w:szCs w:val="28"/>
          <w:lang w:eastAsia="fr-BE"/>
        </w:rPr>
        <w:t xml:space="preserve">de </w:t>
      </w:r>
      <w:r w:rsidR="00AD1594" w:rsidRPr="009B6A62">
        <w:rPr>
          <w:rFonts w:ascii="Cambria" w:eastAsia="Times New Roman" w:hAnsi="Cambria" w:cs="Times New Roman"/>
          <w:sz w:val="28"/>
          <w:szCs w:val="28"/>
          <w:lang w:eastAsia="fr-BE"/>
        </w:rPr>
        <w:t>la Sécurité des Denrées A</w:t>
      </w:r>
      <w:r w:rsidR="00AD1594" w:rsidRPr="009B6A62">
        <w:rPr>
          <w:rFonts w:ascii="Cambria" w:eastAsia="Times New Roman" w:hAnsi="Cambria" w:cs="Times New Roman"/>
          <w:bCs/>
          <w:sz w:val="28"/>
          <w:szCs w:val="28"/>
          <w:lang w:eastAsia="fr-BE"/>
        </w:rPr>
        <w:t>limentaires</w:t>
      </w:r>
      <w:r w:rsidRPr="009B6A62">
        <w:rPr>
          <w:rFonts w:ascii="Cambria" w:eastAsia="Times New Roman" w:hAnsi="Cambria" w:cs="Times New Roman"/>
          <w:sz w:val="28"/>
          <w:szCs w:val="28"/>
          <w:lang w:eastAsia="fr-BE"/>
        </w:rPr>
        <w:t xml:space="preserve">), y compris </w:t>
      </w:r>
      <w:r w:rsidR="0046744A" w:rsidRPr="009B6A62">
        <w:rPr>
          <w:rFonts w:ascii="Cambria" w:eastAsia="Times New Roman" w:hAnsi="Cambria" w:cs="Times New Roman"/>
          <w:sz w:val="28"/>
          <w:szCs w:val="28"/>
          <w:lang w:eastAsia="fr-BE"/>
        </w:rPr>
        <w:t>l’application</w:t>
      </w:r>
      <w:r w:rsidRPr="009B6A62">
        <w:rPr>
          <w:rFonts w:ascii="Cambria" w:eastAsia="Times New Roman" w:hAnsi="Cambria" w:cs="Times New Roman"/>
          <w:sz w:val="28"/>
          <w:szCs w:val="28"/>
          <w:lang w:eastAsia="fr-BE"/>
        </w:rPr>
        <w:t xml:space="preserve"> des législations locales. </w:t>
      </w:r>
    </w:p>
    <w:p w14:paraId="30D1B3A3" w14:textId="77777777" w:rsidR="00AD1594" w:rsidRPr="009B6A62" w:rsidRDefault="00A67421" w:rsidP="00C3394C">
      <w:pPr>
        <w:ind w:left="360"/>
        <w:jc w:val="both"/>
        <w:rPr>
          <w:rFonts w:ascii="Cambria" w:eastAsia="Times New Roman" w:hAnsi="Cambria" w:cs="Times New Roman"/>
          <w:sz w:val="28"/>
          <w:szCs w:val="28"/>
          <w:lang w:eastAsia="fr-BE"/>
        </w:rPr>
      </w:pPr>
      <w:r w:rsidRPr="009B6A62">
        <w:rPr>
          <w:rFonts w:ascii="Cambria" w:eastAsia="Times New Roman" w:hAnsi="Cambria" w:cs="Times New Roman"/>
          <w:sz w:val="28"/>
          <w:szCs w:val="28"/>
          <w:lang w:eastAsia="fr-BE"/>
        </w:rPr>
        <w:t>• L'audit externe de sécuri</w:t>
      </w:r>
      <w:r w:rsidR="00AD1594" w:rsidRPr="009B6A62">
        <w:rPr>
          <w:rFonts w:ascii="Cambria" w:eastAsia="Times New Roman" w:hAnsi="Cambria" w:cs="Times New Roman"/>
          <w:sz w:val="28"/>
          <w:szCs w:val="28"/>
          <w:lang w:eastAsia="fr-BE"/>
        </w:rPr>
        <w:t>té alimentaire est complété par</w:t>
      </w:r>
      <w:r w:rsidRPr="009B6A62">
        <w:rPr>
          <w:rFonts w:ascii="Cambria" w:eastAsia="Times New Roman" w:hAnsi="Cambria" w:cs="Times New Roman"/>
          <w:sz w:val="28"/>
          <w:szCs w:val="28"/>
          <w:lang w:eastAsia="fr-BE"/>
        </w:rPr>
        <w:t xml:space="preserve"> un bon résultat (score vert ou équivalent) pour deux audits ou ré-audits consécutifs (quelle que soit l'année), et l'achèvement du plan d'actions correctives des écarts constatés lors des audits de vérification. </w:t>
      </w:r>
    </w:p>
    <w:p w14:paraId="1B5EE3D2" w14:textId="77777777" w:rsidR="00AD1594" w:rsidRPr="009B6A62" w:rsidRDefault="00A67421" w:rsidP="00C3394C">
      <w:pPr>
        <w:ind w:left="360"/>
        <w:jc w:val="both"/>
        <w:rPr>
          <w:rFonts w:ascii="Cambria" w:eastAsia="Times New Roman" w:hAnsi="Cambria" w:cs="Times New Roman"/>
          <w:sz w:val="28"/>
          <w:szCs w:val="28"/>
          <w:lang w:eastAsia="fr-BE"/>
        </w:rPr>
      </w:pPr>
      <w:r w:rsidRPr="009B6A62">
        <w:rPr>
          <w:rFonts w:ascii="Cambria" w:eastAsia="Times New Roman" w:hAnsi="Cambria" w:cs="Times New Roman"/>
          <w:sz w:val="28"/>
          <w:szCs w:val="28"/>
          <w:lang w:eastAsia="fr-BE"/>
        </w:rPr>
        <w:t xml:space="preserve">• Tous les secteurs et départements alimentaires doivent être évalués lors de l'audit de sécurité alimentaire. </w:t>
      </w:r>
    </w:p>
    <w:p w14:paraId="2CE66F94" w14:textId="77777777" w:rsidR="00AD1594" w:rsidRPr="009B6A62" w:rsidRDefault="00A67421" w:rsidP="00C3394C">
      <w:pPr>
        <w:ind w:left="360"/>
        <w:jc w:val="both"/>
        <w:rPr>
          <w:rFonts w:ascii="Cambria" w:eastAsia="Times New Roman" w:hAnsi="Cambria" w:cs="Times New Roman"/>
          <w:sz w:val="28"/>
          <w:szCs w:val="28"/>
          <w:lang w:eastAsia="fr-BE"/>
        </w:rPr>
      </w:pPr>
      <w:r w:rsidRPr="009B6A62">
        <w:rPr>
          <w:rFonts w:ascii="Cambria" w:eastAsia="Times New Roman" w:hAnsi="Cambria" w:cs="Times New Roman"/>
          <w:sz w:val="28"/>
          <w:szCs w:val="28"/>
          <w:lang w:eastAsia="fr-BE"/>
        </w:rPr>
        <w:t xml:space="preserve">• Les audits de sécurité alimentaire doivent être réalisés par des spécialistes qualifiés de </w:t>
      </w:r>
      <w:proofErr w:type="spellStart"/>
      <w:r w:rsidRPr="009B6A62">
        <w:rPr>
          <w:rFonts w:ascii="Cambria" w:eastAsia="Times New Roman" w:hAnsi="Cambria" w:cs="Times New Roman"/>
          <w:sz w:val="28"/>
          <w:szCs w:val="28"/>
          <w:lang w:eastAsia="fr-BE"/>
        </w:rPr>
        <w:t>Diversey</w:t>
      </w:r>
      <w:proofErr w:type="spellEnd"/>
      <w:r w:rsidRPr="009B6A62">
        <w:rPr>
          <w:rFonts w:ascii="Cambria" w:eastAsia="Times New Roman" w:hAnsi="Cambria" w:cs="Times New Roman"/>
          <w:sz w:val="28"/>
          <w:szCs w:val="28"/>
          <w:lang w:eastAsia="fr-BE"/>
        </w:rPr>
        <w:t xml:space="preserve"> Consulting. </w:t>
      </w:r>
    </w:p>
    <w:p w14:paraId="6219D080" w14:textId="77777777" w:rsidR="00AD1594" w:rsidRPr="009B6A62" w:rsidRDefault="00A67421" w:rsidP="00C3394C">
      <w:pPr>
        <w:ind w:left="360"/>
        <w:jc w:val="both"/>
        <w:rPr>
          <w:rFonts w:ascii="Cambria" w:eastAsia="Times New Roman" w:hAnsi="Cambria" w:cs="Times New Roman"/>
          <w:sz w:val="28"/>
          <w:szCs w:val="28"/>
          <w:lang w:eastAsia="fr-BE"/>
        </w:rPr>
      </w:pPr>
      <w:r w:rsidRPr="009B6A62">
        <w:rPr>
          <w:rFonts w:ascii="Cambria" w:eastAsia="Times New Roman" w:hAnsi="Cambria" w:cs="Times New Roman"/>
          <w:sz w:val="28"/>
          <w:szCs w:val="28"/>
          <w:lang w:eastAsia="fr-BE"/>
        </w:rPr>
        <w:t xml:space="preserve">• Le prix du bouclier sera remis à l'établissement après vérification réussie des exigences remplies. </w:t>
      </w:r>
    </w:p>
    <w:p w14:paraId="095713D6" w14:textId="77777777" w:rsidR="00AD1594" w:rsidRPr="009B6A62" w:rsidRDefault="00A67421" w:rsidP="00C3394C">
      <w:pPr>
        <w:ind w:left="360"/>
        <w:jc w:val="both"/>
        <w:rPr>
          <w:rFonts w:ascii="Cambria" w:eastAsia="Times New Roman" w:hAnsi="Cambria" w:cs="Times New Roman"/>
          <w:sz w:val="28"/>
          <w:szCs w:val="28"/>
          <w:lang w:eastAsia="fr-BE"/>
        </w:rPr>
      </w:pPr>
      <w:proofErr w:type="spellStart"/>
      <w:r w:rsidRPr="009B6A62">
        <w:rPr>
          <w:rFonts w:ascii="Cambria" w:eastAsia="Times New Roman" w:hAnsi="Cambria" w:cs="Times New Roman"/>
          <w:sz w:val="28"/>
          <w:szCs w:val="28"/>
          <w:lang w:eastAsia="fr-BE"/>
        </w:rPr>
        <w:t>Diversey</w:t>
      </w:r>
      <w:proofErr w:type="spellEnd"/>
      <w:r w:rsidRPr="009B6A62">
        <w:rPr>
          <w:rFonts w:ascii="Cambria" w:eastAsia="Times New Roman" w:hAnsi="Cambria" w:cs="Times New Roman"/>
          <w:sz w:val="28"/>
          <w:szCs w:val="28"/>
          <w:lang w:eastAsia="fr-BE"/>
        </w:rPr>
        <w:t xml:space="preserve"> Consulting a le pouvoir d'annuler l'autorisation du Bouclier de sécurité alimentaire et l'utilisation ou la communication sous quelque forme que ce soit, si des non-conformités majeures en matière de sécurité alimentaire sont détectées dans le cadre de 2 audits de séquençage sans qu'aucune mesure corrective ne soit prise par le participant. </w:t>
      </w:r>
    </w:p>
    <w:p w14:paraId="6B4C2E64" w14:textId="77777777" w:rsidR="00AD1594" w:rsidRPr="009B6A62" w:rsidRDefault="00AD1594" w:rsidP="00C3394C">
      <w:pPr>
        <w:ind w:left="360"/>
        <w:jc w:val="both"/>
        <w:rPr>
          <w:rFonts w:ascii="Cambria" w:eastAsia="Times New Roman" w:hAnsi="Cambria" w:cs="Times New Roman"/>
          <w:b/>
          <w:sz w:val="28"/>
          <w:szCs w:val="28"/>
          <w:lang w:eastAsia="fr-BE"/>
        </w:rPr>
      </w:pPr>
    </w:p>
    <w:p w14:paraId="396ABCE6" w14:textId="77777777" w:rsidR="009B6A62" w:rsidRDefault="00A67421" w:rsidP="00C3394C">
      <w:pPr>
        <w:ind w:left="360"/>
        <w:jc w:val="both"/>
        <w:rPr>
          <w:rFonts w:ascii="Cambria" w:eastAsia="Times New Roman" w:hAnsi="Cambria" w:cs="Times New Roman"/>
          <w:b/>
          <w:sz w:val="28"/>
          <w:szCs w:val="28"/>
          <w:lang w:eastAsia="fr-BE"/>
        </w:rPr>
      </w:pPr>
      <w:r w:rsidRPr="009B6A62">
        <w:rPr>
          <w:rFonts w:ascii="Cambria" w:eastAsia="Times New Roman" w:hAnsi="Cambria" w:cs="Times New Roman"/>
          <w:b/>
          <w:sz w:val="28"/>
          <w:szCs w:val="28"/>
          <w:lang w:eastAsia="fr-BE"/>
        </w:rPr>
        <w:t>2.1.1 Compétences des auditeurs</w:t>
      </w:r>
      <w:r w:rsidR="0046744A" w:rsidRPr="009B6A62">
        <w:rPr>
          <w:rFonts w:ascii="Cambria" w:eastAsia="Times New Roman" w:hAnsi="Cambria" w:cs="Times New Roman"/>
          <w:b/>
          <w:sz w:val="28"/>
          <w:szCs w:val="28"/>
          <w:lang w:eastAsia="fr-BE"/>
        </w:rPr>
        <w:t xml:space="preserve"> </w:t>
      </w:r>
      <w:r w:rsidRPr="009B6A62">
        <w:rPr>
          <w:rFonts w:ascii="Cambria" w:eastAsia="Times New Roman" w:hAnsi="Cambria" w:cs="Times New Roman"/>
          <w:b/>
          <w:sz w:val="28"/>
          <w:szCs w:val="28"/>
          <w:lang w:eastAsia="fr-BE"/>
        </w:rPr>
        <w:t xml:space="preserve">: </w:t>
      </w:r>
    </w:p>
    <w:p w14:paraId="27C67389" w14:textId="77777777" w:rsidR="009B6A62" w:rsidRDefault="009B6A62" w:rsidP="00C3394C">
      <w:pPr>
        <w:ind w:left="360"/>
        <w:jc w:val="both"/>
        <w:rPr>
          <w:rFonts w:ascii="Cambria" w:eastAsia="Times New Roman" w:hAnsi="Cambria" w:cs="Times New Roman"/>
          <w:b/>
          <w:sz w:val="28"/>
          <w:szCs w:val="28"/>
          <w:lang w:eastAsia="fr-BE"/>
        </w:rPr>
      </w:pPr>
    </w:p>
    <w:p w14:paraId="24691E25" w14:textId="376E786A" w:rsidR="00A67421" w:rsidRPr="009B6A62" w:rsidRDefault="00A67421" w:rsidP="00C3394C">
      <w:pPr>
        <w:ind w:left="360"/>
        <w:jc w:val="both"/>
        <w:rPr>
          <w:rFonts w:ascii="Cambria" w:eastAsia="Times New Roman" w:hAnsi="Cambria" w:cs="Times New Roman"/>
          <w:bCs/>
          <w:sz w:val="28"/>
          <w:szCs w:val="28"/>
          <w:lang w:eastAsia="fr-BE"/>
        </w:rPr>
      </w:pPr>
      <w:r w:rsidRPr="009B6A62">
        <w:rPr>
          <w:rFonts w:ascii="Cambria" w:eastAsia="Times New Roman" w:hAnsi="Cambria" w:cs="Times New Roman"/>
          <w:sz w:val="28"/>
          <w:szCs w:val="28"/>
          <w:lang w:eastAsia="fr-BE"/>
        </w:rPr>
        <w:t xml:space="preserve">Seuls les consultants ayant la formation, les qualifications et l'expérience requises telles que décrites dans le Manuel des procédures de qualité de </w:t>
      </w:r>
      <w:proofErr w:type="spellStart"/>
      <w:r w:rsidRPr="009B6A62">
        <w:rPr>
          <w:rFonts w:ascii="Cambria" w:eastAsia="Times New Roman" w:hAnsi="Cambria" w:cs="Times New Roman"/>
          <w:sz w:val="28"/>
          <w:szCs w:val="28"/>
          <w:lang w:eastAsia="fr-BE"/>
        </w:rPr>
        <w:lastRenderedPageBreak/>
        <w:t>Diversey</w:t>
      </w:r>
      <w:proofErr w:type="spellEnd"/>
      <w:r w:rsidRPr="009B6A62">
        <w:rPr>
          <w:rFonts w:ascii="Cambria" w:eastAsia="Times New Roman" w:hAnsi="Cambria" w:cs="Times New Roman"/>
          <w:sz w:val="28"/>
          <w:szCs w:val="28"/>
          <w:lang w:eastAsia="fr-BE"/>
        </w:rPr>
        <w:t xml:space="preserve"> Consulting (cf. procédure «Profil de consultant </w:t>
      </w:r>
      <w:proofErr w:type="spellStart"/>
      <w:r w:rsidRPr="009B6A62">
        <w:rPr>
          <w:rFonts w:ascii="Cambria" w:eastAsia="Times New Roman" w:hAnsi="Cambria" w:cs="Times New Roman"/>
          <w:sz w:val="28"/>
          <w:szCs w:val="28"/>
          <w:lang w:eastAsia="fr-BE"/>
        </w:rPr>
        <w:t>Diversey</w:t>
      </w:r>
      <w:proofErr w:type="spellEnd"/>
      <w:r w:rsidRPr="009B6A62">
        <w:rPr>
          <w:rFonts w:ascii="Cambria" w:eastAsia="Times New Roman" w:hAnsi="Cambria" w:cs="Times New Roman"/>
          <w:sz w:val="28"/>
          <w:szCs w:val="28"/>
          <w:lang w:eastAsia="fr-BE"/>
        </w:rPr>
        <w:t xml:space="preserve"> Consulting - mars 2020») sont autorisés à réal</w:t>
      </w:r>
      <w:r w:rsidR="004E3F53">
        <w:rPr>
          <w:rFonts w:ascii="Cambria" w:eastAsia="Times New Roman" w:hAnsi="Cambria" w:cs="Times New Roman"/>
          <w:sz w:val="28"/>
          <w:szCs w:val="28"/>
          <w:lang w:eastAsia="fr-BE"/>
        </w:rPr>
        <w:t>iser l'audit et à attribuer le b</w:t>
      </w:r>
      <w:r w:rsidRPr="009B6A62">
        <w:rPr>
          <w:rFonts w:ascii="Cambria" w:eastAsia="Times New Roman" w:hAnsi="Cambria" w:cs="Times New Roman"/>
          <w:sz w:val="28"/>
          <w:szCs w:val="28"/>
          <w:lang w:eastAsia="fr-BE"/>
        </w:rPr>
        <w:t>ouclier de sécurité alimentaire.</w:t>
      </w:r>
    </w:p>
    <w:bookmarkEnd w:id="1"/>
    <w:p w14:paraId="7EB273D3" w14:textId="77777777" w:rsidR="009B6A62" w:rsidRDefault="009B6A62" w:rsidP="00C3394C">
      <w:pPr>
        <w:jc w:val="both"/>
        <w:rPr>
          <w:rFonts w:asciiTheme="majorHAnsi" w:eastAsiaTheme="majorEastAsia" w:hAnsiTheme="majorHAnsi" w:cstheme="majorBidi"/>
          <w:bCs/>
          <w:sz w:val="26"/>
          <w:szCs w:val="26"/>
        </w:rPr>
      </w:pPr>
    </w:p>
    <w:p w14:paraId="1F1270B9" w14:textId="4BFC4B6B" w:rsidR="009B6A62" w:rsidRPr="00C066D5" w:rsidRDefault="009B6A62" w:rsidP="00C3394C">
      <w:pPr>
        <w:jc w:val="both"/>
        <w:rPr>
          <w:rFonts w:asciiTheme="majorHAnsi" w:eastAsiaTheme="majorEastAsia" w:hAnsiTheme="majorHAnsi" w:cstheme="majorBidi"/>
          <w:b/>
          <w:bCs/>
          <w:sz w:val="26"/>
          <w:szCs w:val="26"/>
        </w:rPr>
      </w:pPr>
      <w:r w:rsidRPr="00C066D5">
        <w:rPr>
          <w:rFonts w:asciiTheme="majorHAnsi" w:eastAsiaTheme="majorEastAsia" w:hAnsiTheme="majorHAnsi" w:cstheme="majorBidi"/>
          <w:b/>
          <w:bCs/>
          <w:sz w:val="26"/>
          <w:szCs w:val="26"/>
        </w:rPr>
        <w:t>2</w:t>
      </w:r>
      <w:r w:rsidR="00C066D5">
        <w:rPr>
          <w:rFonts w:asciiTheme="majorHAnsi" w:eastAsiaTheme="majorEastAsia" w:hAnsiTheme="majorHAnsi" w:cstheme="majorBidi"/>
          <w:b/>
          <w:bCs/>
          <w:sz w:val="26"/>
          <w:szCs w:val="26"/>
        </w:rPr>
        <w:t>.2 Le bouclier de sécurité COVID</w:t>
      </w:r>
      <w:r w:rsidRPr="00C066D5">
        <w:rPr>
          <w:rFonts w:asciiTheme="majorHAnsi" w:eastAsiaTheme="majorEastAsia" w:hAnsiTheme="majorHAnsi" w:cstheme="majorBidi"/>
          <w:b/>
          <w:bCs/>
          <w:sz w:val="26"/>
          <w:szCs w:val="26"/>
        </w:rPr>
        <w:t xml:space="preserve">-19 </w:t>
      </w:r>
      <w:r w:rsidR="00C066D5">
        <w:rPr>
          <w:rFonts w:asciiTheme="majorHAnsi" w:eastAsiaTheme="majorEastAsia" w:hAnsiTheme="majorHAnsi" w:cstheme="majorBidi"/>
          <w:b/>
          <w:bCs/>
          <w:sz w:val="26"/>
          <w:szCs w:val="26"/>
        </w:rPr>
        <w:t>– Validé</w:t>
      </w:r>
      <w:r w:rsidRPr="00C066D5">
        <w:rPr>
          <w:rFonts w:asciiTheme="majorHAnsi" w:eastAsiaTheme="majorEastAsia" w:hAnsiTheme="majorHAnsi" w:cstheme="majorBidi"/>
          <w:b/>
          <w:bCs/>
          <w:sz w:val="26"/>
          <w:szCs w:val="26"/>
        </w:rPr>
        <w:t xml:space="preserve"> par </w:t>
      </w:r>
      <w:proofErr w:type="spellStart"/>
      <w:r w:rsidRPr="00C066D5">
        <w:rPr>
          <w:rFonts w:asciiTheme="majorHAnsi" w:eastAsiaTheme="majorEastAsia" w:hAnsiTheme="majorHAnsi" w:cstheme="majorBidi"/>
          <w:b/>
          <w:bCs/>
          <w:sz w:val="26"/>
          <w:szCs w:val="26"/>
        </w:rPr>
        <w:t>Diversey</w:t>
      </w:r>
      <w:proofErr w:type="spellEnd"/>
      <w:r w:rsidRPr="00C066D5">
        <w:rPr>
          <w:rFonts w:asciiTheme="majorHAnsi" w:eastAsiaTheme="majorEastAsia" w:hAnsiTheme="majorHAnsi" w:cstheme="majorBidi"/>
          <w:b/>
          <w:bCs/>
          <w:sz w:val="26"/>
          <w:szCs w:val="26"/>
        </w:rPr>
        <w:t xml:space="preserve"> Consulting </w:t>
      </w:r>
    </w:p>
    <w:p w14:paraId="574E8FFE" w14:textId="492A0C29" w:rsidR="00C066D5" w:rsidRDefault="00C066D5" w:rsidP="00C3394C">
      <w:pPr>
        <w:jc w:val="both"/>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Le bouclier de sécurité COVID-19 - Validé</w:t>
      </w:r>
      <w:r w:rsidR="009B6A62" w:rsidRPr="009B6A62">
        <w:rPr>
          <w:rFonts w:asciiTheme="majorHAnsi" w:eastAsiaTheme="majorEastAsia" w:hAnsiTheme="majorHAnsi" w:cstheme="majorBidi"/>
          <w:bCs/>
          <w:sz w:val="26"/>
          <w:szCs w:val="26"/>
        </w:rPr>
        <w:t xml:space="preserve"> par </w:t>
      </w:r>
      <w:proofErr w:type="spellStart"/>
      <w:r w:rsidR="009B6A62" w:rsidRPr="009B6A62">
        <w:rPr>
          <w:rFonts w:asciiTheme="majorHAnsi" w:eastAsiaTheme="majorEastAsia" w:hAnsiTheme="majorHAnsi" w:cstheme="majorBidi"/>
          <w:bCs/>
          <w:sz w:val="26"/>
          <w:szCs w:val="26"/>
        </w:rPr>
        <w:t>Diversey</w:t>
      </w:r>
      <w:proofErr w:type="spellEnd"/>
      <w:r w:rsidR="009B6A62" w:rsidRPr="009B6A62">
        <w:rPr>
          <w:rFonts w:asciiTheme="majorHAnsi" w:eastAsiaTheme="majorEastAsia" w:hAnsiTheme="majorHAnsi" w:cstheme="majorBidi"/>
          <w:bCs/>
          <w:sz w:val="26"/>
          <w:szCs w:val="26"/>
        </w:rPr>
        <w:t xml:space="preserve"> Consulting ne peut être attribué qu'à un participant remplissant les conditions suivantes</w:t>
      </w:r>
      <w:r>
        <w:rPr>
          <w:rFonts w:asciiTheme="majorHAnsi" w:eastAsiaTheme="majorEastAsia" w:hAnsiTheme="majorHAnsi" w:cstheme="majorBidi"/>
          <w:bCs/>
          <w:sz w:val="26"/>
          <w:szCs w:val="26"/>
        </w:rPr>
        <w:t xml:space="preserve"> </w:t>
      </w:r>
      <w:r w:rsidR="009B6A62" w:rsidRPr="009B6A62">
        <w:rPr>
          <w:rFonts w:asciiTheme="majorHAnsi" w:eastAsiaTheme="majorEastAsia" w:hAnsiTheme="majorHAnsi" w:cstheme="majorBidi"/>
          <w:bCs/>
          <w:sz w:val="26"/>
          <w:szCs w:val="26"/>
        </w:rPr>
        <w:t>:</w:t>
      </w:r>
      <w:r>
        <w:rPr>
          <w:rFonts w:asciiTheme="majorHAnsi" w:eastAsiaTheme="majorEastAsia" w:hAnsiTheme="majorHAnsi" w:cstheme="majorBidi"/>
          <w:bCs/>
          <w:sz w:val="26"/>
          <w:szCs w:val="26"/>
        </w:rPr>
        <w:t xml:space="preserve"> </w:t>
      </w:r>
      <w:r w:rsidR="009B6A62" w:rsidRPr="009B6A62">
        <w:rPr>
          <w:rFonts w:asciiTheme="majorHAnsi" w:eastAsiaTheme="majorEastAsia" w:hAnsiTheme="majorHAnsi" w:cstheme="majorBidi"/>
          <w:bCs/>
          <w:sz w:val="26"/>
          <w:szCs w:val="26"/>
        </w:rPr>
        <w:t xml:space="preserve"> </w:t>
      </w:r>
    </w:p>
    <w:p w14:paraId="4CE8C107" w14:textId="77777777" w:rsidR="00C066D5" w:rsidRDefault="00C066D5" w:rsidP="00C3394C">
      <w:pPr>
        <w:jc w:val="both"/>
        <w:rPr>
          <w:rFonts w:asciiTheme="majorHAnsi" w:eastAsiaTheme="majorEastAsia" w:hAnsiTheme="majorHAnsi" w:cstheme="majorBidi"/>
          <w:bCs/>
          <w:sz w:val="26"/>
          <w:szCs w:val="26"/>
        </w:rPr>
      </w:pPr>
    </w:p>
    <w:p w14:paraId="6D21514A" w14:textId="21C05C58" w:rsidR="00C066D5" w:rsidRDefault="009B6A62" w:rsidP="00C3394C">
      <w:pPr>
        <w:jc w:val="both"/>
        <w:rPr>
          <w:rFonts w:asciiTheme="majorHAnsi" w:eastAsiaTheme="majorEastAsia" w:hAnsiTheme="majorHAnsi" w:cstheme="majorBidi"/>
          <w:bCs/>
          <w:sz w:val="26"/>
          <w:szCs w:val="26"/>
        </w:rPr>
      </w:pPr>
      <w:r w:rsidRPr="009B6A62">
        <w:rPr>
          <w:rFonts w:asciiTheme="majorHAnsi" w:eastAsiaTheme="majorEastAsia" w:hAnsiTheme="majorHAnsi" w:cstheme="majorBidi"/>
          <w:bCs/>
          <w:sz w:val="26"/>
          <w:szCs w:val="26"/>
        </w:rPr>
        <w:t>• Un audit de soutien aux opérations COVID-19 ou un ré-audit (annoncé) est complété</w:t>
      </w:r>
      <w:r w:rsidR="00C066D5">
        <w:rPr>
          <w:rFonts w:asciiTheme="majorHAnsi" w:eastAsiaTheme="majorEastAsia" w:hAnsiTheme="majorHAnsi" w:cstheme="majorBidi"/>
          <w:bCs/>
          <w:sz w:val="26"/>
          <w:szCs w:val="26"/>
        </w:rPr>
        <w:t xml:space="preserve"> par</w:t>
      </w:r>
      <w:r w:rsidRPr="009B6A62">
        <w:rPr>
          <w:rFonts w:asciiTheme="majorHAnsi" w:eastAsiaTheme="majorEastAsia" w:hAnsiTheme="majorHAnsi" w:cstheme="majorBidi"/>
          <w:bCs/>
          <w:sz w:val="26"/>
          <w:szCs w:val="26"/>
        </w:rPr>
        <w:t xml:space="preserve"> un bon résultat (&gt; 95%) et l'achèvement du plan d'actions correctives des écarts observés lors de l'audit de vérification. </w:t>
      </w:r>
    </w:p>
    <w:p w14:paraId="3C9D7843" w14:textId="77777777" w:rsidR="00C066D5" w:rsidRDefault="009B6A62" w:rsidP="00C3394C">
      <w:pPr>
        <w:jc w:val="both"/>
        <w:rPr>
          <w:rFonts w:asciiTheme="majorHAnsi" w:eastAsiaTheme="majorEastAsia" w:hAnsiTheme="majorHAnsi" w:cstheme="majorBidi"/>
          <w:bCs/>
          <w:sz w:val="26"/>
          <w:szCs w:val="26"/>
        </w:rPr>
      </w:pPr>
      <w:r w:rsidRPr="009B6A62">
        <w:rPr>
          <w:rFonts w:asciiTheme="majorHAnsi" w:eastAsiaTheme="majorEastAsia" w:hAnsiTheme="majorHAnsi" w:cstheme="majorBidi"/>
          <w:bCs/>
          <w:sz w:val="26"/>
          <w:szCs w:val="26"/>
        </w:rPr>
        <w:t xml:space="preserve">• Tous les domaines et départements (alimentaires et non alimentaires) doivent être évalués au cours de l'audit d'appui aux opérations COVID-19. </w:t>
      </w:r>
    </w:p>
    <w:p w14:paraId="366705B1" w14:textId="7328BA36" w:rsidR="00C066D5" w:rsidRDefault="009B6A62" w:rsidP="00C3394C">
      <w:pPr>
        <w:jc w:val="both"/>
        <w:rPr>
          <w:rFonts w:asciiTheme="majorHAnsi" w:eastAsiaTheme="majorEastAsia" w:hAnsiTheme="majorHAnsi" w:cstheme="majorBidi"/>
          <w:bCs/>
          <w:sz w:val="26"/>
          <w:szCs w:val="26"/>
        </w:rPr>
      </w:pPr>
      <w:r w:rsidRPr="009B6A62">
        <w:rPr>
          <w:rFonts w:asciiTheme="majorHAnsi" w:eastAsiaTheme="majorEastAsia" w:hAnsiTheme="majorHAnsi" w:cstheme="majorBidi"/>
          <w:bCs/>
          <w:sz w:val="26"/>
          <w:szCs w:val="26"/>
        </w:rPr>
        <w:t xml:space="preserve">• Le plan d'actions correctives doit être complété sur </w:t>
      </w:r>
      <w:proofErr w:type="spellStart"/>
      <w:r w:rsidRPr="009B6A62">
        <w:rPr>
          <w:rFonts w:asciiTheme="majorHAnsi" w:eastAsiaTheme="majorEastAsia" w:hAnsiTheme="majorHAnsi" w:cstheme="majorBidi"/>
          <w:bCs/>
          <w:sz w:val="26"/>
          <w:szCs w:val="26"/>
        </w:rPr>
        <w:t>iMAP</w:t>
      </w:r>
      <w:proofErr w:type="spellEnd"/>
      <w:r w:rsidR="00C066D5">
        <w:rPr>
          <w:rFonts w:asciiTheme="majorHAnsi" w:eastAsiaTheme="majorEastAsia" w:hAnsiTheme="majorHAnsi" w:cstheme="majorBidi"/>
          <w:bCs/>
          <w:sz w:val="26"/>
          <w:szCs w:val="26"/>
        </w:rPr>
        <w:t xml:space="preserve"> ©. L'outil d'audit exclusif</w:t>
      </w:r>
      <w:r w:rsidRPr="009B6A62">
        <w:rPr>
          <w:rFonts w:asciiTheme="majorHAnsi" w:eastAsiaTheme="majorEastAsia" w:hAnsiTheme="majorHAnsi" w:cstheme="majorBidi"/>
          <w:bCs/>
          <w:sz w:val="26"/>
          <w:szCs w:val="26"/>
        </w:rPr>
        <w:t xml:space="preserve"> de </w:t>
      </w:r>
      <w:proofErr w:type="spellStart"/>
      <w:r w:rsidRPr="009B6A62">
        <w:rPr>
          <w:rFonts w:asciiTheme="majorHAnsi" w:eastAsiaTheme="majorEastAsia" w:hAnsiTheme="majorHAnsi" w:cstheme="majorBidi"/>
          <w:bCs/>
          <w:sz w:val="26"/>
          <w:szCs w:val="26"/>
        </w:rPr>
        <w:t>Diversey</w:t>
      </w:r>
      <w:proofErr w:type="spellEnd"/>
      <w:r w:rsidRPr="009B6A62">
        <w:rPr>
          <w:rFonts w:asciiTheme="majorHAnsi" w:eastAsiaTheme="majorEastAsia" w:hAnsiTheme="majorHAnsi" w:cstheme="majorBidi"/>
          <w:bCs/>
          <w:sz w:val="26"/>
          <w:szCs w:val="26"/>
        </w:rPr>
        <w:t xml:space="preserve"> Consulting. </w:t>
      </w:r>
    </w:p>
    <w:p w14:paraId="4D431F87" w14:textId="77777777" w:rsidR="00C066D5" w:rsidRDefault="009B6A62" w:rsidP="00C3394C">
      <w:pPr>
        <w:jc w:val="both"/>
        <w:rPr>
          <w:rFonts w:asciiTheme="majorHAnsi" w:eastAsiaTheme="majorEastAsia" w:hAnsiTheme="majorHAnsi" w:cstheme="majorBidi"/>
          <w:bCs/>
          <w:sz w:val="26"/>
          <w:szCs w:val="26"/>
        </w:rPr>
      </w:pPr>
      <w:r w:rsidRPr="009B6A62">
        <w:rPr>
          <w:rFonts w:asciiTheme="majorHAnsi" w:eastAsiaTheme="majorEastAsia" w:hAnsiTheme="majorHAnsi" w:cstheme="majorBidi"/>
          <w:bCs/>
          <w:sz w:val="26"/>
          <w:szCs w:val="26"/>
        </w:rPr>
        <w:t xml:space="preserve">• L'audit de support aux opérations COVID-19 doit être réalisé par un spécialiste </w:t>
      </w:r>
      <w:proofErr w:type="spellStart"/>
      <w:r w:rsidRPr="009B6A62">
        <w:rPr>
          <w:rFonts w:asciiTheme="majorHAnsi" w:eastAsiaTheme="majorEastAsia" w:hAnsiTheme="majorHAnsi" w:cstheme="majorBidi"/>
          <w:bCs/>
          <w:sz w:val="26"/>
          <w:szCs w:val="26"/>
        </w:rPr>
        <w:t>Diversey</w:t>
      </w:r>
      <w:proofErr w:type="spellEnd"/>
      <w:r w:rsidRPr="009B6A62">
        <w:rPr>
          <w:rFonts w:asciiTheme="majorHAnsi" w:eastAsiaTheme="majorEastAsia" w:hAnsiTheme="majorHAnsi" w:cstheme="majorBidi"/>
          <w:bCs/>
          <w:sz w:val="26"/>
          <w:szCs w:val="26"/>
        </w:rPr>
        <w:t xml:space="preserve"> Consulting qualifié et formé à la prévention du COVID-19. </w:t>
      </w:r>
    </w:p>
    <w:p w14:paraId="3B05C524" w14:textId="77777777" w:rsidR="00C066D5" w:rsidRDefault="009B6A62" w:rsidP="00C3394C">
      <w:pPr>
        <w:jc w:val="both"/>
        <w:rPr>
          <w:rFonts w:asciiTheme="majorHAnsi" w:eastAsiaTheme="majorEastAsia" w:hAnsiTheme="majorHAnsi" w:cstheme="majorBidi"/>
          <w:bCs/>
          <w:sz w:val="26"/>
          <w:szCs w:val="26"/>
        </w:rPr>
      </w:pPr>
      <w:r w:rsidRPr="009B6A62">
        <w:rPr>
          <w:rFonts w:asciiTheme="majorHAnsi" w:eastAsiaTheme="majorEastAsia" w:hAnsiTheme="majorHAnsi" w:cstheme="majorBidi"/>
          <w:bCs/>
          <w:sz w:val="26"/>
          <w:szCs w:val="26"/>
        </w:rPr>
        <w:t xml:space="preserve">• Le prix du bouclier sera remis à l'établissement après vérification réussie des exigences remplies. </w:t>
      </w:r>
    </w:p>
    <w:p w14:paraId="396DAE05" w14:textId="77777777" w:rsidR="00C066D5" w:rsidRDefault="00C066D5" w:rsidP="00C3394C">
      <w:pPr>
        <w:jc w:val="both"/>
        <w:rPr>
          <w:rFonts w:asciiTheme="majorHAnsi" w:eastAsiaTheme="majorEastAsia" w:hAnsiTheme="majorHAnsi" w:cstheme="majorBidi"/>
          <w:bCs/>
          <w:sz w:val="26"/>
          <w:szCs w:val="26"/>
        </w:rPr>
      </w:pPr>
    </w:p>
    <w:p w14:paraId="3FB9CC95" w14:textId="47185024" w:rsidR="00C066D5" w:rsidRDefault="009B6A62" w:rsidP="00C3394C">
      <w:pPr>
        <w:jc w:val="both"/>
        <w:rPr>
          <w:rFonts w:asciiTheme="majorHAnsi" w:eastAsiaTheme="majorEastAsia" w:hAnsiTheme="majorHAnsi" w:cstheme="majorBidi"/>
          <w:bCs/>
          <w:sz w:val="26"/>
          <w:szCs w:val="26"/>
        </w:rPr>
      </w:pPr>
      <w:proofErr w:type="spellStart"/>
      <w:r w:rsidRPr="009B6A62">
        <w:rPr>
          <w:rFonts w:asciiTheme="majorHAnsi" w:eastAsiaTheme="majorEastAsia" w:hAnsiTheme="majorHAnsi" w:cstheme="majorBidi"/>
          <w:bCs/>
          <w:sz w:val="26"/>
          <w:szCs w:val="26"/>
        </w:rPr>
        <w:t>Diversey</w:t>
      </w:r>
      <w:proofErr w:type="spellEnd"/>
      <w:r w:rsidRPr="009B6A62">
        <w:rPr>
          <w:rFonts w:asciiTheme="majorHAnsi" w:eastAsiaTheme="majorEastAsia" w:hAnsiTheme="majorHAnsi" w:cstheme="majorBidi"/>
          <w:bCs/>
          <w:sz w:val="26"/>
          <w:szCs w:val="26"/>
        </w:rPr>
        <w:t xml:space="preserve"> Consulting a le pouvoi</w:t>
      </w:r>
      <w:r w:rsidR="00C066D5">
        <w:rPr>
          <w:rFonts w:asciiTheme="majorHAnsi" w:eastAsiaTheme="majorEastAsia" w:hAnsiTheme="majorHAnsi" w:cstheme="majorBidi"/>
          <w:bCs/>
          <w:sz w:val="26"/>
          <w:szCs w:val="26"/>
        </w:rPr>
        <w:t>r d'annuler l'autorisation du bouclier COVID</w:t>
      </w:r>
      <w:r w:rsidRPr="009B6A62">
        <w:rPr>
          <w:rFonts w:asciiTheme="majorHAnsi" w:eastAsiaTheme="majorEastAsia" w:hAnsiTheme="majorHAnsi" w:cstheme="majorBidi"/>
          <w:bCs/>
          <w:sz w:val="26"/>
          <w:szCs w:val="26"/>
        </w:rPr>
        <w:t xml:space="preserve">-19 et l'utilisation ou la communication sous quelque forme que ce soit, si des non-conformités majeures par rapport </w:t>
      </w:r>
      <w:r w:rsidR="000D50B8">
        <w:rPr>
          <w:rFonts w:asciiTheme="majorHAnsi" w:eastAsiaTheme="majorEastAsia" w:hAnsiTheme="majorHAnsi" w:cstheme="majorBidi"/>
          <w:bCs/>
          <w:sz w:val="26"/>
          <w:szCs w:val="26"/>
        </w:rPr>
        <w:t>aux directives officielles COVID</w:t>
      </w:r>
      <w:r w:rsidRPr="009B6A62">
        <w:rPr>
          <w:rFonts w:asciiTheme="majorHAnsi" w:eastAsiaTheme="majorEastAsia" w:hAnsiTheme="majorHAnsi" w:cstheme="majorBidi"/>
          <w:bCs/>
          <w:sz w:val="26"/>
          <w:szCs w:val="26"/>
        </w:rPr>
        <w:t xml:space="preserve">-19 sont détectées sans qu'aucune mesure corrective ne soit prise par le participant. </w:t>
      </w:r>
    </w:p>
    <w:p w14:paraId="1A18AA44" w14:textId="77777777" w:rsidR="00C066D5" w:rsidRDefault="00C066D5" w:rsidP="00C3394C">
      <w:pPr>
        <w:jc w:val="both"/>
        <w:rPr>
          <w:rFonts w:asciiTheme="majorHAnsi" w:eastAsiaTheme="majorEastAsia" w:hAnsiTheme="majorHAnsi" w:cstheme="majorBidi"/>
          <w:bCs/>
          <w:sz w:val="26"/>
          <w:szCs w:val="26"/>
        </w:rPr>
      </w:pPr>
    </w:p>
    <w:p w14:paraId="3F48B191" w14:textId="04AFDC60" w:rsidR="00C066D5" w:rsidRDefault="009B6A62" w:rsidP="00C3394C">
      <w:pPr>
        <w:jc w:val="both"/>
        <w:rPr>
          <w:rFonts w:asciiTheme="majorHAnsi" w:eastAsiaTheme="majorEastAsia" w:hAnsiTheme="majorHAnsi" w:cstheme="majorBidi"/>
          <w:bCs/>
          <w:sz w:val="26"/>
          <w:szCs w:val="26"/>
        </w:rPr>
      </w:pPr>
      <w:r w:rsidRPr="00C066D5">
        <w:rPr>
          <w:rFonts w:asciiTheme="majorHAnsi" w:eastAsiaTheme="majorEastAsia" w:hAnsiTheme="majorHAnsi" w:cstheme="majorBidi"/>
          <w:b/>
          <w:bCs/>
          <w:sz w:val="26"/>
          <w:szCs w:val="26"/>
        </w:rPr>
        <w:t>2.2.1 Compétences des auditeurs</w:t>
      </w:r>
      <w:r w:rsidR="00C066D5">
        <w:rPr>
          <w:rFonts w:asciiTheme="majorHAnsi" w:eastAsiaTheme="majorEastAsia" w:hAnsiTheme="majorHAnsi" w:cstheme="majorBidi"/>
          <w:b/>
          <w:bCs/>
          <w:sz w:val="26"/>
          <w:szCs w:val="26"/>
        </w:rPr>
        <w:t xml:space="preserve"> </w:t>
      </w:r>
      <w:r w:rsidRPr="00C066D5">
        <w:rPr>
          <w:rFonts w:asciiTheme="majorHAnsi" w:eastAsiaTheme="majorEastAsia" w:hAnsiTheme="majorHAnsi" w:cstheme="majorBidi"/>
          <w:b/>
          <w:bCs/>
          <w:sz w:val="26"/>
          <w:szCs w:val="26"/>
        </w:rPr>
        <w:t>:</w:t>
      </w:r>
      <w:r w:rsidRPr="009B6A62">
        <w:rPr>
          <w:rFonts w:asciiTheme="majorHAnsi" w:eastAsiaTheme="majorEastAsia" w:hAnsiTheme="majorHAnsi" w:cstheme="majorBidi"/>
          <w:bCs/>
          <w:sz w:val="26"/>
          <w:szCs w:val="26"/>
        </w:rPr>
        <w:t xml:space="preserve"> </w:t>
      </w:r>
    </w:p>
    <w:p w14:paraId="7412EEF3" w14:textId="19DB0E2D" w:rsidR="009B6A62" w:rsidRPr="009B6A62" w:rsidRDefault="009B6A62" w:rsidP="00C3394C">
      <w:pPr>
        <w:jc w:val="both"/>
        <w:rPr>
          <w:rFonts w:asciiTheme="majorHAnsi" w:eastAsiaTheme="majorEastAsia" w:hAnsiTheme="majorHAnsi" w:cstheme="majorBidi"/>
          <w:bCs/>
          <w:sz w:val="26"/>
          <w:szCs w:val="26"/>
        </w:rPr>
      </w:pPr>
      <w:r w:rsidRPr="009B6A62">
        <w:rPr>
          <w:rFonts w:asciiTheme="majorHAnsi" w:eastAsiaTheme="majorEastAsia" w:hAnsiTheme="majorHAnsi" w:cstheme="majorBidi"/>
          <w:bCs/>
          <w:sz w:val="26"/>
          <w:szCs w:val="26"/>
        </w:rPr>
        <w:t>Seules les personnes ayant suivi la for</w:t>
      </w:r>
      <w:r w:rsidR="000D50B8">
        <w:rPr>
          <w:rFonts w:asciiTheme="majorHAnsi" w:eastAsiaTheme="majorEastAsia" w:hAnsiTheme="majorHAnsi" w:cstheme="majorBidi"/>
          <w:bCs/>
          <w:sz w:val="26"/>
          <w:szCs w:val="26"/>
        </w:rPr>
        <w:t xml:space="preserve">mation </w:t>
      </w:r>
      <w:proofErr w:type="spellStart"/>
      <w:r w:rsidR="000D50B8">
        <w:rPr>
          <w:rFonts w:asciiTheme="majorHAnsi" w:eastAsiaTheme="majorEastAsia" w:hAnsiTheme="majorHAnsi" w:cstheme="majorBidi"/>
          <w:bCs/>
          <w:sz w:val="26"/>
          <w:szCs w:val="26"/>
        </w:rPr>
        <w:t>Diversey</w:t>
      </w:r>
      <w:proofErr w:type="spellEnd"/>
      <w:r w:rsidR="000D50B8">
        <w:rPr>
          <w:rFonts w:asciiTheme="majorHAnsi" w:eastAsiaTheme="majorEastAsia" w:hAnsiTheme="majorHAnsi" w:cstheme="majorBidi"/>
          <w:bCs/>
          <w:sz w:val="26"/>
          <w:szCs w:val="26"/>
        </w:rPr>
        <w:t xml:space="preserve"> Consulting COVID</w:t>
      </w:r>
      <w:r w:rsidRPr="009B6A62">
        <w:rPr>
          <w:rFonts w:asciiTheme="majorHAnsi" w:eastAsiaTheme="majorEastAsia" w:hAnsiTheme="majorHAnsi" w:cstheme="majorBidi"/>
          <w:bCs/>
          <w:sz w:val="26"/>
          <w:szCs w:val="26"/>
        </w:rPr>
        <w:t>-19 sont autorisées à auditer et à attribuer le bouclier.</w:t>
      </w:r>
    </w:p>
    <w:p w14:paraId="03C8DD32" w14:textId="77777777" w:rsidR="00EC121B" w:rsidRDefault="00EC121B" w:rsidP="00C3394C">
      <w:pPr>
        <w:jc w:val="both"/>
        <w:rPr>
          <w:rFonts w:ascii="Calibri" w:hAnsi="Calibri"/>
          <w:sz w:val="28"/>
          <w:szCs w:val="28"/>
        </w:rPr>
      </w:pPr>
    </w:p>
    <w:p w14:paraId="18744758" w14:textId="77777777" w:rsidR="00AA161D" w:rsidRDefault="00AA161D" w:rsidP="00C3394C">
      <w:pPr>
        <w:jc w:val="both"/>
        <w:rPr>
          <w:rFonts w:ascii="Calibri" w:hAnsi="Calibri"/>
          <w:b/>
          <w:bCs/>
          <w:sz w:val="28"/>
          <w:szCs w:val="28"/>
        </w:rPr>
      </w:pPr>
      <w:r w:rsidRPr="00AA161D">
        <w:rPr>
          <w:rFonts w:ascii="Calibri" w:hAnsi="Calibri"/>
          <w:b/>
          <w:bCs/>
          <w:sz w:val="28"/>
          <w:szCs w:val="28"/>
        </w:rPr>
        <w:t xml:space="preserve">3. PROCÉDURE D'AFFILIATION </w:t>
      </w:r>
    </w:p>
    <w:p w14:paraId="4EFB9009" w14:textId="77777777" w:rsidR="00BC5C83" w:rsidRDefault="00AA161D" w:rsidP="00C3394C">
      <w:pPr>
        <w:jc w:val="both"/>
        <w:rPr>
          <w:rFonts w:ascii="Calibri" w:hAnsi="Calibri"/>
          <w:bCs/>
          <w:sz w:val="28"/>
          <w:szCs w:val="28"/>
        </w:rPr>
      </w:pPr>
      <w:r w:rsidRPr="00AA161D">
        <w:rPr>
          <w:rFonts w:ascii="Calibri" w:hAnsi="Calibri"/>
          <w:bCs/>
          <w:sz w:val="28"/>
          <w:szCs w:val="28"/>
        </w:rPr>
        <w:t xml:space="preserve">Une entreprise pose sa candidature en remplissant et en signant un «formulaire d’affiliation» (voir annexe 1). Toute candidature doit être envoyée à </w:t>
      </w:r>
      <w:proofErr w:type="spellStart"/>
      <w:r w:rsidRPr="00AA161D">
        <w:rPr>
          <w:rFonts w:ascii="Calibri" w:hAnsi="Calibri"/>
          <w:bCs/>
          <w:sz w:val="28"/>
          <w:szCs w:val="28"/>
        </w:rPr>
        <w:t>Diversey</w:t>
      </w:r>
      <w:proofErr w:type="spellEnd"/>
      <w:r w:rsidRPr="00AA161D">
        <w:rPr>
          <w:rFonts w:ascii="Calibri" w:hAnsi="Calibri"/>
          <w:bCs/>
          <w:sz w:val="28"/>
          <w:szCs w:val="28"/>
        </w:rPr>
        <w:t xml:space="preserve"> Consulting par e-mail, courrier ou fax. A réception d'une candidature valide, </w:t>
      </w:r>
      <w:proofErr w:type="spellStart"/>
      <w:r w:rsidRPr="00AA161D">
        <w:rPr>
          <w:rFonts w:ascii="Calibri" w:hAnsi="Calibri"/>
          <w:bCs/>
          <w:sz w:val="28"/>
          <w:szCs w:val="28"/>
        </w:rPr>
        <w:t>Diversey</w:t>
      </w:r>
      <w:proofErr w:type="spellEnd"/>
      <w:r w:rsidRPr="00AA161D">
        <w:rPr>
          <w:rFonts w:ascii="Calibri" w:hAnsi="Calibri"/>
          <w:bCs/>
          <w:sz w:val="28"/>
          <w:szCs w:val="28"/>
        </w:rPr>
        <w:t xml:space="preserve"> Consulting transmet le Formulaire d'Affiliation au responsable de compte </w:t>
      </w:r>
      <w:proofErr w:type="spellStart"/>
      <w:r w:rsidRPr="00AA161D">
        <w:rPr>
          <w:rFonts w:ascii="Calibri" w:hAnsi="Calibri"/>
          <w:bCs/>
          <w:sz w:val="28"/>
          <w:szCs w:val="28"/>
        </w:rPr>
        <w:t>Diversey</w:t>
      </w:r>
      <w:proofErr w:type="spellEnd"/>
      <w:r w:rsidRPr="00AA161D">
        <w:rPr>
          <w:rFonts w:ascii="Calibri" w:hAnsi="Calibri"/>
          <w:bCs/>
          <w:sz w:val="28"/>
          <w:szCs w:val="28"/>
        </w:rPr>
        <w:t xml:space="preserve"> Consulting approprié. </w:t>
      </w:r>
    </w:p>
    <w:p w14:paraId="3712C12E" w14:textId="77777777" w:rsidR="00BC5C83" w:rsidRDefault="00BC5C83" w:rsidP="00C3394C">
      <w:pPr>
        <w:jc w:val="both"/>
        <w:rPr>
          <w:rFonts w:ascii="Calibri" w:hAnsi="Calibri"/>
          <w:bCs/>
          <w:sz w:val="28"/>
          <w:szCs w:val="28"/>
        </w:rPr>
      </w:pPr>
    </w:p>
    <w:p w14:paraId="6589E537" w14:textId="77777777" w:rsidR="00BC5C83" w:rsidRDefault="00AA161D" w:rsidP="00C3394C">
      <w:pPr>
        <w:jc w:val="both"/>
        <w:rPr>
          <w:rFonts w:ascii="Calibri" w:hAnsi="Calibri"/>
          <w:bCs/>
          <w:sz w:val="28"/>
          <w:szCs w:val="28"/>
        </w:rPr>
      </w:pPr>
      <w:r w:rsidRPr="00AA161D">
        <w:rPr>
          <w:rFonts w:ascii="Calibri" w:hAnsi="Calibri"/>
          <w:bCs/>
          <w:sz w:val="28"/>
          <w:szCs w:val="28"/>
        </w:rPr>
        <w:t xml:space="preserve">A cette occasion, </w:t>
      </w:r>
      <w:proofErr w:type="spellStart"/>
      <w:r w:rsidRPr="00AA161D">
        <w:rPr>
          <w:rFonts w:ascii="Calibri" w:hAnsi="Calibri"/>
          <w:bCs/>
          <w:sz w:val="28"/>
          <w:szCs w:val="28"/>
        </w:rPr>
        <w:t>Diversey</w:t>
      </w:r>
      <w:proofErr w:type="spellEnd"/>
      <w:r w:rsidRPr="00AA161D">
        <w:rPr>
          <w:rFonts w:ascii="Calibri" w:hAnsi="Calibri"/>
          <w:bCs/>
          <w:sz w:val="28"/>
          <w:szCs w:val="28"/>
        </w:rPr>
        <w:t xml:space="preserve"> Consulting effectuera un premier audit dans les locaux du participant potentiel. L'audit initial est réalisé au plus tard un mois après le dépôt d'une candidature valide. </w:t>
      </w:r>
    </w:p>
    <w:p w14:paraId="76D76379" w14:textId="77777777" w:rsidR="00BC5C83" w:rsidRDefault="00BC5C83" w:rsidP="00C3394C">
      <w:pPr>
        <w:jc w:val="both"/>
        <w:rPr>
          <w:rFonts w:ascii="Calibri" w:hAnsi="Calibri"/>
          <w:bCs/>
          <w:sz w:val="28"/>
          <w:szCs w:val="28"/>
        </w:rPr>
      </w:pPr>
    </w:p>
    <w:p w14:paraId="04C19836" w14:textId="762B5135" w:rsidR="00AA161D" w:rsidRDefault="00AA161D" w:rsidP="00C3394C">
      <w:pPr>
        <w:jc w:val="both"/>
        <w:rPr>
          <w:rFonts w:ascii="Calibri" w:hAnsi="Calibri"/>
          <w:bCs/>
          <w:sz w:val="28"/>
          <w:szCs w:val="28"/>
        </w:rPr>
      </w:pPr>
      <w:r w:rsidRPr="00AA161D">
        <w:rPr>
          <w:rFonts w:ascii="Calibri" w:hAnsi="Calibri"/>
          <w:bCs/>
          <w:sz w:val="28"/>
          <w:szCs w:val="28"/>
        </w:rPr>
        <w:t xml:space="preserve">Si le responsable de compte de </w:t>
      </w:r>
      <w:proofErr w:type="spellStart"/>
      <w:r w:rsidRPr="00AA161D">
        <w:rPr>
          <w:rFonts w:ascii="Calibri" w:hAnsi="Calibri"/>
          <w:bCs/>
          <w:sz w:val="28"/>
          <w:szCs w:val="28"/>
        </w:rPr>
        <w:t>Diversey</w:t>
      </w:r>
      <w:proofErr w:type="spellEnd"/>
      <w:r w:rsidRPr="00AA161D">
        <w:rPr>
          <w:rFonts w:ascii="Calibri" w:hAnsi="Calibri"/>
          <w:bCs/>
          <w:sz w:val="28"/>
          <w:szCs w:val="28"/>
        </w:rPr>
        <w:t xml:space="preserve"> Consulting ou l'audit de </w:t>
      </w:r>
      <w:proofErr w:type="spellStart"/>
      <w:r w:rsidRPr="00AA161D">
        <w:rPr>
          <w:rFonts w:ascii="Calibri" w:hAnsi="Calibri"/>
          <w:bCs/>
          <w:sz w:val="28"/>
          <w:szCs w:val="28"/>
        </w:rPr>
        <w:t>Diversey</w:t>
      </w:r>
      <w:proofErr w:type="spellEnd"/>
      <w:r w:rsidRPr="00AA161D">
        <w:rPr>
          <w:rFonts w:ascii="Calibri" w:hAnsi="Calibri"/>
          <w:bCs/>
          <w:sz w:val="28"/>
          <w:szCs w:val="28"/>
        </w:rPr>
        <w:t xml:space="preserve"> Consulting rapporte favorablement l'audit initial, </w:t>
      </w:r>
      <w:proofErr w:type="spellStart"/>
      <w:r w:rsidRPr="00AA161D">
        <w:rPr>
          <w:rFonts w:ascii="Calibri" w:hAnsi="Calibri"/>
          <w:bCs/>
          <w:sz w:val="28"/>
          <w:szCs w:val="28"/>
        </w:rPr>
        <w:t>Diversey</w:t>
      </w:r>
      <w:proofErr w:type="spellEnd"/>
      <w:r w:rsidRPr="00AA161D">
        <w:rPr>
          <w:rFonts w:ascii="Calibri" w:hAnsi="Calibri"/>
          <w:bCs/>
          <w:sz w:val="28"/>
          <w:szCs w:val="28"/>
        </w:rPr>
        <w:t xml:space="preserve"> Consulting peut </w:t>
      </w:r>
      <w:r w:rsidRPr="00AA161D">
        <w:rPr>
          <w:rFonts w:ascii="Calibri" w:hAnsi="Calibri"/>
          <w:bCs/>
          <w:sz w:val="28"/>
          <w:szCs w:val="28"/>
        </w:rPr>
        <w:lastRenderedPageBreak/>
        <w:t>procéder à l'approbation écrite (= certification / attribution du bouclier approprié) de l'application.</w:t>
      </w:r>
    </w:p>
    <w:p w14:paraId="44688E3A" w14:textId="77777777" w:rsidR="00BC5C83" w:rsidRDefault="00BC5C83" w:rsidP="00C3394C">
      <w:pPr>
        <w:jc w:val="both"/>
        <w:rPr>
          <w:rFonts w:ascii="Calibri" w:hAnsi="Calibri"/>
          <w:bCs/>
          <w:sz w:val="28"/>
          <w:szCs w:val="28"/>
        </w:rPr>
      </w:pPr>
    </w:p>
    <w:p w14:paraId="5FA779A3" w14:textId="77777777" w:rsidR="00BC5C83"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r w:rsidRPr="00BC5C83">
        <w:rPr>
          <w:rFonts w:ascii="Calibri" w:hAnsi="Calibri" w:cs="Courier"/>
          <w:color w:val="222222"/>
          <w:sz w:val="28"/>
          <w:szCs w:val="28"/>
        </w:rPr>
        <w:t>Le certificat est valable pendant une période d'un an et prend effet au moment de la décision de certification positive, qui doit être prise au plus tard trois mois après la date de l'audit.</w:t>
      </w:r>
    </w:p>
    <w:p w14:paraId="76BE9EA1" w14:textId="77777777" w:rsidR="00BC5C83"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p>
    <w:p w14:paraId="5D6AB1A7" w14:textId="77777777" w:rsid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r w:rsidRPr="00BC5C83">
        <w:rPr>
          <w:rFonts w:ascii="Calibri" w:hAnsi="Calibri" w:cs="Courier"/>
          <w:b/>
          <w:color w:val="222222"/>
          <w:sz w:val="28"/>
          <w:szCs w:val="28"/>
        </w:rPr>
        <w:t xml:space="preserve">4. MÉTHODE D'ÉVALUATION </w:t>
      </w:r>
    </w:p>
    <w:p w14:paraId="43BA0438"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p>
    <w:p w14:paraId="5240A286" w14:textId="77777777" w:rsid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r w:rsidRPr="00BC5C83">
        <w:rPr>
          <w:rFonts w:ascii="Calibri" w:hAnsi="Calibri" w:cs="Courier"/>
          <w:b/>
          <w:color w:val="222222"/>
          <w:sz w:val="28"/>
          <w:szCs w:val="28"/>
        </w:rPr>
        <w:t xml:space="preserve">4.1 Général </w:t>
      </w:r>
    </w:p>
    <w:p w14:paraId="02C1B3A2"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p>
    <w:p w14:paraId="5C14F423" w14:textId="7590E612" w:rsidR="00915555" w:rsidRP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r w:rsidRPr="00915555">
        <w:rPr>
          <w:rFonts w:ascii="Calibri" w:hAnsi="Calibri" w:cs="Courier"/>
          <w:color w:val="222222"/>
          <w:sz w:val="28"/>
          <w:szCs w:val="28"/>
        </w:rPr>
        <w:t xml:space="preserve">Dans le cadre des audits </w:t>
      </w:r>
      <w:proofErr w:type="spellStart"/>
      <w:r w:rsidRPr="00915555">
        <w:rPr>
          <w:rFonts w:ascii="Calibri" w:hAnsi="Calibri" w:cs="Courier"/>
          <w:color w:val="222222"/>
          <w:sz w:val="28"/>
          <w:szCs w:val="28"/>
        </w:rPr>
        <w:t>Shield</w:t>
      </w:r>
      <w:proofErr w:type="spellEnd"/>
      <w:r w:rsidRPr="00915555">
        <w:rPr>
          <w:rFonts w:ascii="Calibri" w:hAnsi="Calibri" w:cs="Courier"/>
          <w:color w:val="222222"/>
          <w:sz w:val="28"/>
          <w:szCs w:val="28"/>
        </w:rPr>
        <w:t xml:space="preserve">, chaque participant s'engage à permettre un libre accès et une coopération totale avec les consultants de </w:t>
      </w:r>
      <w:proofErr w:type="spellStart"/>
      <w:r w:rsidRPr="00915555">
        <w:rPr>
          <w:rFonts w:ascii="Calibri" w:hAnsi="Calibri" w:cs="Courier"/>
          <w:color w:val="222222"/>
          <w:sz w:val="28"/>
          <w:szCs w:val="28"/>
        </w:rPr>
        <w:t>Diversey</w:t>
      </w:r>
      <w:proofErr w:type="spellEnd"/>
      <w:r w:rsidRPr="00915555">
        <w:rPr>
          <w:rFonts w:ascii="Calibri" w:hAnsi="Calibri" w:cs="Courier"/>
          <w:color w:val="222222"/>
          <w:sz w:val="28"/>
          <w:szCs w:val="28"/>
        </w:rPr>
        <w:t xml:space="preserve"> Consulting, quelle que soit l'heure de la visite d'inspection. Le contrôle de la conformité consiste en des contrôles administratifs et physiques (visuels). On distingue quatre types d'inspection</w:t>
      </w:r>
      <w:r w:rsidR="00915555" w:rsidRPr="00915555">
        <w:rPr>
          <w:rFonts w:ascii="Calibri" w:hAnsi="Calibri" w:cs="Courier"/>
          <w:color w:val="222222"/>
          <w:sz w:val="28"/>
          <w:szCs w:val="28"/>
        </w:rPr>
        <w:t xml:space="preserve"> </w:t>
      </w:r>
      <w:r w:rsidRPr="00915555">
        <w:rPr>
          <w:rFonts w:ascii="Calibri" w:hAnsi="Calibri" w:cs="Courier"/>
          <w:color w:val="222222"/>
          <w:sz w:val="28"/>
          <w:szCs w:val="28"/>
        </w:rPr>
        <w:t xml:space="preserve">: </w:t>
      </w:r>
    </w:p>
    <w:p w14:paraId="7718D0F3"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p>
    <w:p w14:paraId="1E7CFE70" w14:textId="77777777" w:rsidR="00915555" w:rsidRP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r w:rsidRPr="00915555">
        <w:rPr>
          <w:rFonts w:ascii="Calibri" w:hAnsi="Calibri" w:cs="Courier"/>
          <w:color w:val="222222"/>
          <w:sz w:val="28"/>
          <w:szCs w:val="28"/>
        </w:rPr>
        <w:t>1. Audit initial ou d’affiliation (audit inopiné)</w:t>
      </w:r>
    </w:p>
    <w:p w14:paraId="200DDDD8" w14:textId="77777777" w:rsid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r w:rsidRPr="00915555">
        <w:rPr>
          <w:rFonts w:ascii="Calibri" w:hAnsi="Calibri" w:cs="Courier"/>
          <w:color w:val="222222"/>
          <w:sz w:val="28"/>
          <w:szCs w:val="28"/>
        </w:rPr>
        <w:t xml:space="preserve">2. Prolongation ou audit périodique (audit inopiné) </w:t>
      </w:r>
    </w:p>
    <w:p w14:paraId="72225335" w14:textId="4F04680E" w:rsidR="00915555" w:rsidRP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r w:rsidRPr="00915555">
        <w:rPr>
          <w:rFonts w:ascii="Calibri" w:hAnsi="Calibri" w:cs="Courier"/>
          <w:color w:val="222222"/>
          <w:sz w:val="28"/>
          <w:szCs w:val="28"/>
        </w:rPr>
        <w:t xml:space="preserve">3. Audit des mesures correctives (audit inopiné) </w:t>
      </w:r>
    </w:p>
    <w:p w14:paraId="6BE2D30B"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p>
    <w:p w14:paraId="77C73B23" w14:textId="77777777" w:rsid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r w:rsidRPr="00BC5C83">
        <w:rPr>
          <w:rFonts w:ascii="Calibri" w:hAnsi="Calibri" w:cs="Courier"/>
          <w:b/>
          <w:color w:val="222222"/>
          <w:sz w:val="28"/>
          <w:szCs w:val="28"/>
        </w:rPr>
        <w:t xml:space="preserve">4.2 Frais pour le compte du participant </w:t>
      </w:r>
    </w:p>
    <w:p w14:paraId="4D17E115"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p>
    <w:p w14:paraId="2822C862" w14:textId="77777777" w:rsid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r w:rsidRPr="00BC5C83">
        <w:rPr>
          <w:rFonts w:ascii="Calibri" w:hAnsi="Calibri" w:cs="Courier"/>
          <w:b/>
          <w:color w:val="222222"/>
          <w:sz w:val="28"/>
          <w:szCs w:val="28"/>
        </w:rPr>
        <w:t xml:space="preserve">Frais d'affiliation </w:t>
      </w:r>
    </w:p>
    <w:p w14:paraId="7182E3B5"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p>
    <w:p w14:paraId="45667A2F" w14:textId="77777777" w:rsidR="00915555" w:rsidRP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r w:rsidRPr="00915555">
        <w:rPr>
          <w:rFonts w:ascii="Calibri" w:hAnsi="Calibri" w:cs="Courier"/>
          <w:color w:val="222222"/>
          <w:sz w:val="28"/>
          <w:szCs w:val="28"/>
        </w:rPr>
        <w:t xml:space="preserve">Il n'y a pas de frais d'affiliation pour le participant. </w:t>
      </w:r>
    </w:p>
    <w:p w14:paraId="1102FE19"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p>
    <w:p w14:paraId="3ADAB26A" w14:textId="77777777" w:rsidR="00915555"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r w:rsidRPr="00BC5C83">
        <w:rPr>
          <w:rFonts w:ascii="Calibri" w:hAnsi="Calibri" w:cs="Courier"/>
          <w:b/>
          <w:color w:val="222222"/>
          <w:sz w:val="28"/>
          <w:szCs w:val="28"/>
        </w:rPr>
        <w:t xml:space="preserve">Coûts d'audit </w:t>
      </w:r>
    </w:p>
    <w:p w14:paraId="30F41D1E" w14:textId="77777777" w:rsidR="00915555" w:rsidRDefault="00915555"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color w:val="222222"/>
          <w:sz w:val="28"/>
          <w:szCs w:val="28"/>
        </w:rPr>
      </w:pPr>
    </w:p>
    <w:p w14:paraId="164F7486" w14:textId="280DE4FC" w:rsidR="00BC5C83" w:rsidRDefault="00BC5C83"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r w:rsidRPr="00915555">
        <w:rPr>
          <w:rFonts w:ascii="Calibri" w:hAnsi="Calibri" w:cs="Courier"/>
          <w:color w:val="222222"/>
          <w:sz w:val="28"/>
          <w:szCs w:val="28"/>
        </w:rPr>
        <w:t xml:space="preserve">L'utilisation du bouclier lui-même n'a aucun coût supplémentaire. Seuls les coûts des audits (audits initiaux, prolongations et actions correctives) sont à la charge du participant agréé et sont facturés directement au participant par DIVERSEY INC tel que décrit dans le contrat entre </w:t>
      </w:r>
      <w:proofErr w:type="spellStart"/>
      <w:r w:rsidRPr="00915555">
        <w:rPr>
          <w:rFonts w:ascii="Calibri" w:hAnsi="Calibri" w:cs="Courier"/>
          <w:color w:val="222222"/>
          <w:sz w:val="28"/>
          <w:szCs w:val="28"/>
        </w:rPr>
        <w:t>Diversey</w:t>
      </w:r>
      <w:proofErr w:type="spellEnd"/>
      <w:r w:rsidRPr="00915555">
        <w:rPr>
          <w:rFonts w:ascii="Calibri" w:hAnsi="Calibri" w:cs="Courier"/>
          <w:color w:val="222222"/>
          <w:sz w:val="28"/>
          <w:szCs w:val="28"/>
        </w:rPr>
        <w:t xml:space="preserve"> Consulting et le participant.</w:t>
      </w:r>
      <w:r w:rsidR="00915555">
        <w:rPr>
          <w:rFonts w:ascii="Calibri" w:hAnsi="Calibri" w:cs="Courier"/>
          <w:color w:val="222222"/>
          <w:sz w:val="28"/>
          <w:szCs w:val="28"/>
        </w:rPr>
        <w:t xml:space="preserve"> </w:t>
      </w:r>
      <w:r w:rsidRPr="00915555">
        <w:rPr>
          <w:rFonts w:ascii="Calibri" w:hAnsi="Calibri" w:cs="Courier"/>
          <w:color w:val="222222"/>
          <w:sz w:val="28"/>
          <w:szCs w:val="28"/>
        </w:rPr>
        <w:t>Si une m</w:t>
      </w:r>
      <w:r w:rsidR="00915555">
        <w:rPr>
          <w:rFonts w:ascii="Calibri" w:hAnsi="Calibri" w:cs="Courier"/>
          <w:color w:val="222222"/>
          <w:sz w:val="28"/>
          <w:szCs w:val="28"/>
        </w:rPr>
        <w:t xml:space="preserve">esure corrective est nécessaire, </w:t>
      </w:r>
      <w:r w:rsidRPr="00915555">
        <w:rPr>
          <w:rFonts w:ascii="Calibri" w:hAnsi="Calibri" w:cs="Courier"/>
          <w:color w:val="222222"/>
          <w:sz w:val="28"/>
          <w:szCs w:val="28"/>
        </w:rPr>
        <w:t>DIVERSEY INC facturera ses frais directement au participant approuvé.</w:t>
      </w:r>
    </w:p>
    <w:p w14:paraId="04C56693"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color w:val="222222"/>
          <w:sz w:val="28"/>
          <w:szCs w:val="28"/>
        </w:rPr>
      </w:pPr>
    </w:p>
    <w:p w14:paraId="74C61276"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bCs/>
          <w:color w:val="222222"/>
          <w:sz w:val="28"/>
          <w:szCs w:val="28"/>
        </w:rPr>
      </w:pPr>
      <w:r w:rsidRPr="00B774FB">
        <w:rPr>
          <w:rFonts w:ascii="Calibri" w:hAnsi="Calibri" w:cs="Courier"/>
          <w:b/>
          <w:bCs/>
          <w:color w:val="222222"/>
          <w:sz w:val="28"/>
          <w:szCs w:val="28"/>
        </w:rPr>
        <w:t xml:space="preserve">5. REFUS, DISQUALIFICATION ET RÉSILIATION </w:t>
      </w:r>
    </w:p>
    <w:p w14:paraId="59065B6D"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bCs/>
          <w:color w:val="222222"/>
          <w:sz w:val="28"/>
          <w:szCs w:val="28"/>
        </w:rPr>
      </w:pPr>
    </w:p>
    <w:p w14:paraId="5614EA32"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bCs/>
          <w:color w:val="222222"/>
          <w:sz w:val="28"/>
          <w:szCs w:val="28"/>
        </w:rPr>
      </w:pPr>
      <w:r w:rsidRPr="00B774FB">
        <w:rPr>
          <w:rFonts w:ascii="Calibri" w:hAnsi="Calibri" w:cs="Courier"/>
          <w:b/>
          <w:bCs/>
          <w:color w:val="222222"/>
          <w:sz w:val="28"/>
          <w:szCs w:val="28"/>
        </w:rPr>
        <w:t xml:space="preserve">5.1 Refus d'un participant potentiel </w:t>
      </w:r>
    </w:p>
    <w:p w14:paraId="205CC513" w14:textId="05438E71" w:rsidR="00B774FB" w:rsidRP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Cs/>
          <w:color w:val="222222"/>
          <w:sz w:val="28"/>
          <w:szCs w:val="28"/>
        </w:rPr>
      </w:pPr>
      <w:r w:rsidRPr="00B774FB">
        <w:rPr>
          <w:rFonts w:ascii="Calibri" w:hAnsi="Calibri" w:cs="Courier"/>
          <w:bCs/>
          <w:color w:val="222222"/>
          <w:sz w:val="28"/>
          <w:szCs w:val="28"/>
        </w:rPr>
        <w:lastRenderedPageBreak/>
        <w:t>Tant que DIVERSEY INC ne dispose pas d'un formulaire d'affiliation valide et des documents requis (voir point 2) la demande est considérée comme inexistante jusqu'au moment où les conditions sont complètement remplies. S'il n'y a pas de régularisation dans les trois mois, la demande d'affiliation est annulée. Un participant potentiel qui refuse catégori</w:t>
      </w:r>
      <w:r>
        <w:rPr>
          <w:rFonts w:ascii="Calibri" w:hAnsi="Calibri" w:cs="Courier"/>
          <w:bCs/>
          <w:color w:val="222222"/>
          <w:sz w:val="28"/>
          <w:szCs w:val="28"/>
        </w:rPr>
        <w:t xml:space="preserve">quement une vérification par </w:t>
      </w:r>
      <w:r w:rsidRPr="00B774FB">
        <w:rPr>
          <w:rFonts w:ascii="Calibri" w:hAnsi="Calibri" w:cs="Courier"/>
          <w:bCs/>
          <w:color w:val="222222"/>
          <w:sz w:val="28"/>
          <w:szCs w:val="28"/>
        </w:rPr>
        <w:t xml:space="preserve">DIVERSEY INC se verra également refuser le système du programme </w:t>
      </w:r>
      <w:proofErr w:type="spellStart"/>
      <w:r w:rsidRPr="00B774FB">
        <w:rPr>
          <w:rFonts w:ascii="Calibri" w:hAnsi="Calibri" w:cs="Courier"/>
          <w:bCs/>
          <w:color w:val="222222"/>
          <w:sz w:val="28"/>
          <w:szCs w:val="28"/>
        </w:rPr>
        <w:t>Shield</w:t>
      </w:r>
      <w:proofErr w:type="spellEnd"/>
      <w:r w:rsidRPr="00B774FB">
        <w:rPr>
          <w:rFonts w:ascii="Calibri" w:hAnsi="Calibri" w:cs="Courier"/>
          <w:bCs/>
          <w:color w:val="222222"/>
          <w:sz w:val="28"/>
          <w:szCs w:val="28"/>
        </w:rPr>
        <w:t>. Cependant, le participant aura la possibilité de présenter une nouvelle demande pour une nouvelle procédure d'affiliation. En cas de refus d'un éventuel participant, DIVERSEY INC en informera le participant par lettre recom</w:t>
      </w:r>
      <w:r>
        <w:rPr>
          <w:rFonts w:ascii="Calibri" w:hAnsi="Calibri" w:cs="Courier"/>
          <w:bCs/>
          <w:color w:val="222222"/>
          <w:sz w:val="28"/>
          <w:szCs w:val="28"/>
        </w:rPr>
        <w:t>mandée.</w:t>
      </w:r>
    </w:p>
    <w:p w14:paraId="21D92C81"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bCs/>
          <w:color w:val="222222"/>
          <w:sz w:val="28"/>
          <w:szCs w:val="28"/>
        </w:rPr>
      </w:pPr>
    </w:p>
    <w:p w14:paraId="238D193F"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bCs/>
          <w:color w:val="222222"/>
          <w:sz w:val="28"/>
          <w:szCs w:val="28"/>
        </w:rPr>
      </w:pPr>
      <w:r w:rsidRPr="00B774FB">
        <w:rPr>
          <w:rFonts w:ascii="Calibri" w:hAnsi="Calibri" w:cs="Courier"/>
          <w:b/>
          <w:bCs/>
          <w:color w:val="222222"/>
          <w:sz w:val="28"/>
          <w:szCs w:val="28"/>
        </w:rPr>
        <w:t xml:space="preserve">5.2 Disqualification </w:t>
      </w:r>
    </w:p>
    <w:p w14:paraId="7A6797AD" w14:textId="5CCB132F" w:rsidR="00B774FB" w:rsidRP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Cs/>
          <w:color w:val="222222"/>
          <w:sz w:val="28"/>
          <w:szCs w:val="28"/>
        </w:rPr>
      </w:pPr>
      <w:r w:rsidRPr="00B774FB">
        <w:rPr>
          <w:rFonts w:ascii="Calibri" w:hAnsi="Calibri" w:cs="Courier"/>
          <w:bCs/>
          <w:color w:val="222222"/>
          <w:sz w:val="28"/>
          <w:szCs w:val="28"/>
        </w:rPr>
        <w:t xml:space="preserve">Un participant approuvé au programme </w:t>
      </w:r>
      <w:proofErr w:type="spellStart"/>
      <w:r w:rsidRPr="00B774FB">
        <w:rPr>
          <w:rFonts w:ascii="Calibri" w:hAnsi="Calibri" w:cs="Courier"/>
          <w:bCs/>
          <w:color w:val="222222"/>
          <w:sz w:val="28"/>
          <w:szCs w:val="28"/>
        </w:rPr>
        <w:t>Shield</w:t>
      </w:r>
      <w:proofErr w:type="spellEnd"/>
      <w:r w:rsidRPr="00B774FB">
        <w:rPr>
          <w:rFonts w:ascii="Calibri" w:hAnsi="Calibri" w:cs="Courier"/>
          <w:bCs/>
          <w:color w:val="222222"/>
          <w:sz w:val="28"/>
          <w:szCs w:val="28"/>
        </w:rPr>
        <w:t xml:space="preserve"> peut être disqualifié parce qu'il ne remplit pas les conditions préalables de l'audit. En cas de disqualification d'un participant approuvé, le bouclier du participant est immédiatement annulé et l'entreprise n'est plus autorisée à communiquer un programme de bouclier. Un participant approuvé par le programme </w:t>
      </w:r>
      <w:proofErr w:type="spellStart"/>
      <w:r w:rsidRPr="00B774FB">
        <w:rPr>
          <w:rFonts w:ascii="Calibri" w:hAnsi="Calibri" w:cs="Courier"/>
          <w:bCs/>
          <w:color w:val="222222"/>
          <w:sz w:val="28"/>
          <w:szCs w:val="28"/>
        </w:rPr>
        <w:t>Shield</w:t>
      </w:r>
      <w:proofErr w:type="spellEnd"/>
      <w:r w:rsidRPr="00B774FB">
        <w:rPr>
          <w:rFonts w:ascii="Calibri" w:hAnsi="Calibri" w:cs="Courier"/>
          <w:bCs/>
          <w:color w:val="222222"/>
          <w:sz w:val="28"/>
          <w:szCs w:val="28"/>
        </w:rPr>
        <w:t xml:space="preserve"> qui refuse catégoriquement un audit de DIVERSEY INC sera également disqualifié. Un participant approuvé peut être disqualifié si des mesures correctives inadéquates sont prises dans le délai imparti</w:t>
      </w:r>
      <w:r w:rsidR="00BC4F01">
        <w:rPr>
          <w:rFonts w:ascii="Calibri" w:hAnsi="Calibri" w:cs="Courier"/>
          <w:bCs/>
          <w:color w:val="222222"/>
          <w:sz w:val="28"/>
          <w:szCs w:val="28"/>
        </w:rPr>
        <w:t xml:space="preserve">. </w:t>
      </w:r>
      <w:r w:rsidRPr="00B774FB">
        <w:rPr>
          <w:rFonts w:ascii="Calibri" w:hAnsi="Calibri" w:cs="Courier"/>
          <w:bCs/>
          <w:color w:val="222222"/>
          <w:sz w:val="28"/>
          <w:szCs w:val="28"/>
        </w:rPr>
        <w:t xml:space="preserve">DIVERSEY INC notifie par lettre recommandée au participant concerné la disqualification d'un participant approuvé. Ensuite, le participant peut présenter une nouvelle demande de certification conformément au programme </w:t>
      </w:r>
      <w:proofErr w:type="spellStart"/>
      <w:r w:rsidRPr="00B774FB">
        <w:rPr>
          <w:rFonts w:ascii="Calibri" w:hAnsi="Calibri" w:cs="Courier"/>
          <w:bCs/>
          <w:color w:val="222222"/>
          <w:sz w:val="28"/>
          <w:szCs w:val="28"/>
        </w:rPr>
        <w:t>Shield</w:t>
      </w:r>
      <w:proofErr w:type="spellEnd"/>
      <w:r w:rsidRPr="00B774FB">
        <w:rPr>
          <w:rFonts w:ascii="Calibri" w:hAnsi="Calibri" w:cs="Courier"/>
          <w:bCs/>
          <w:color w:val="222222"/>
          <w:sz w:val="28"/>
          <w:szCs w:val="28"/>
        </w:rPr>
        <w:t xml:space="preserve">. </w:t>
      </w:r>
    </w:p>
    <w:p w14:paraId="7ADE92BF"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bCs/>
          <w:color w:val="222222"/>
          <w:sz w:val="28"/>
          <w:szCs w:val="28"/>
        </w:rPr>
      </w:pPr>
    </w:p>
    <w:p w14:paraId="47B0A864" w14:textId="77777777" w:rsid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
          <w:bCs/>
          <w:color w:val="222222"/>
          <w:sz w:val="28"/>
          <w:szCs w:val="28"/>
        </w:rPr>
      </w:pPr>
      <w:r w:rsidRPr="00B774FB">
        <w:rPr>
          <w:rFonts w:ascii="Calibri" w:hAnsi="Calibri" w:cs="Courier"/>
          <w:b/>
          <w:bCs/>
          <w:color w:val="222222"/>
          <w:sz w:val="28"/>
          <w:szCs w:val="28"/>
        </w:rPr>
        <w:t xml:space="preserve">5.3 Résiliation de l'approbation par un participant </w:t>
      </w:r>
    </w:p>
    <w:p w14:paraId="57421D07" w14:textId="08A828B9" w:rsidR="00B774FB" w:rsidRPr="00B774FB" w:rsidRDefault="00B774FB"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bCs/>
          <w:color w:val="222222"/>
          <w:sz w:val="28"/>
          <w:szCs w:val="28"/>
        </w:rPr>
      </w:pPr>
      <w:r w:rsidRPr="00B774FB">
        <w:rPr>
          <w:rFonts w:ascii="Calibri" w:hAnsi="Calibri" w:cs="Courier"/>
          <w:bCs/>
          <w:color w:val="222222"/>
          <w:sz w:val="28"/>
          <w:szCs w:val="28"/>
        </w:rPr>
        <w:t xml:space="preserve">Le participant doit informer DIVERSEY INC de la résiliation de son approbation du programme </w:t>
      </w:r>
      <w:proofErr w:type="spellStart"/>
      <w:r w:rsidRPr="00B774FB">
        <w:rPr>
          <w:rFonts w:ascii="Calibri" w:hAnsi="Calibri" w:cs="Courier"/>
          <w:bCs/>
          <w:color w:val="222222"/>
          <w:sz w:val="28"/>
          <w:szCs w:val="28"/>
        </w:rPr>
        <w:t>Shield</w:t>
      </w:r>
      <w:proofErr w:type="spellEnd"/>
      <w:r w:rsidRPr="00B774FB">
        <w:rPr>
          <w:rFonts w:ascii="Calibri" w:hAnsi="Calibri" w:cs="Courier"/>
          <w:bCs/>
          <w:color w:val="222222"/>
          <w:sz w:val="28"/>
          <w:szCs w:val="28"/>
        </w:rPr>
        <w:t xml:space="preserve"> par écrit (e-mail, fax, courrier). Un participant qui annule son approbation du programme </w:t>
      </w:r>
      <w:proofErr w:type="spellStart"/>
      <w:r w:rsidRPr="00B774FB">
        <w:rPr>
          <w:rFonts w:ascii="Calibri" w:hAnsi="Calibri" w:cs="Courier"/>
          <w:bCs/>
          <w:color w:val="222222"/>
          <w:sz w:val="28"/>
          <w:szCs w:val="28"/>
        </w:rPr>
        <w:t>Shield</w:t>
      </w:r>
      <w:proofErr w:type="spellEnd"/>
      <w:r w:rsidRPr="00B774FB">
        <w:rPr>
          <w:rFonts w:ascii="Calibri" w:hAnsi="Calibri" w:cs="Courier"/>
          <w:bCs/>
          <w:color w:val="222222"/>
          <w:sz w:val="28"/>
          <w:szCs w:val="28"/>
        </w:rPr>
        <w:t xml:space="preserve"> sera retiré du système </w:t>
      </w:r>
      <w:r w:rsidR="00BC4F01">
        <w:rPr>
          <w:rFonts w:ascii="Calibri" w:hAnsi="Calibri" w:cs="Courier"/>
          <w:bCs/>
          <w:color w:val="222222"/>
          <w:sz w:val="28"/>
          <w:szCs w:val="28"/>
        </w:rPr>
        <w:t>« </w:t>
      </w:r>
      <w:proofErr w:type="spellStart"/>
      <w:r w:rsidRPr="00B774FB">
        <w:rPr>
          <w:rFonts w:ascii="Calibri" w:hAnsi="Calibri" w:cs="Courier"/>
          <w:bCs/>
          <w:color w:val="222222"/>
          <w:sz w:val="28"/>
          <w:szCs w:val="28"/>
        </w:rPr>
        <w:t>Shield</w:t>
      </w:r>
      <w:proofErr w:type="spellEnd"/>
      <w:r w:rsidRPr="00B774FB">
        <w:rPr>
          <w:rFonts w:ascii="Calibri" w:hAnsi="Calibri" w:cs="Courier"/>
          <w:bCs/>
          <w:color w:val="222222"/>
          <w:sz w:val="28"/>
          <w:szCs w:val="28"/>
        </w:rPr>
        <w:t xml:space="preserve"> Program</w:t>
      </w:r>
      <w:r w:rsidR="00BC4F01">
        <w:rPr>
          <w:rFonts w:ascii="Calibri" w:hAnsi="Calibri" w:cs="Courier"/>
          <w:bCs/>
          <w:color w:val="222222"/>
          <w:sz w:val="28"/>
          <w:szCs w:val="28"/>
        </w:rPr>
        <w:t> »</w:t>
      </w:r>
      <w:r w:rsidRPr="00B774FB">
        <w:rPr>
          <w:rFonts w:ascii="Calibri" w:hAnsi="Calibri" w:cs="Courier"/>
          <w:bCs/>
          <w:color w:val="222222"/>
          <w:sz w:val="28"/>
          <w:szCs w:val="28"/>
        </w:rPr>
        <w:t xml:space="preserve"> le jour de la réception de l'avis de résiliation écrit. La résiliation doit intervenir au plus tard trois mois avant l'expiration du certificat actuel. DIVERSEY INC informe le participant de l'annulation par lettre recommandée.</w:t>
      </w:r>
    </w:p>
    <w:p w14:paraId="34CAC908" w14:textId="77777777" w:rsidR="00AA161D" w:rsidRDefault="00AA161D"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8"/>
          <w:szCs w:val="28"/>
        </w:rPr>
      </w:pPr>
    </w:p>
    <w:p w14:paraId="369D3BCC" w14:textId="77777777" w:rsidR="002E40AC" w:rsidRDefault="002E40AC"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sz w:val="28"/>
          <w:szCs w:val="28"/>
        </w:rPr>
      </w:pPr>
      <w:r w:rsidRPr="002E40AC">
        <w:rPr>
          <w:rFonts w:ascii="Calibri" w:hAnsi="Calibri"/>
          <w:b/>
          <w:bCs/>
          <w:sz w:val="28"/>
          <w:szCs w:val="28"/>
        </w:rPr>
        <w:t xml:space="preserve">6. PLAINTES </w:t>
      </w:r>
    </w:p>
    <w:p w14:paraId="2266D3A8" w14:textId="7A2DDFB3" w:rsidR="003B666E" w:rsidRDefault="002E40AC"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Cs/>
          <w:sz w:val="28"/>
          <w:szCs w:val="28"/>
        </w:rPr>
      </w:pPr>
      <w:r w:rsidRPr="002E40AC">
        <w:rPr>
          <w:rFonts w:ascii="Calibri" w:hAnsi="Calibri"/>
          <w:bCs/>
          <w:sz w:val="28"/>
          <w:szCs w:val="28"/>
        </w:rPr>
        <w:t xml:space="preserve">Chaque participant approuvé par le programme </w:t>
      </w:r>
      <w:proofErr w:type="spellStart"/>
      <w:r w:rsidRPr="002E40AC">
        <w:rPr>
          <w:rFonts w:ascii="Calibri" w:hAnsi="Calibri"/>
          <w:bCs/>
          <w:sz w:val="28"/>
          <w:szCs w:val="28"/>
        </w:rPr>
        <w:t>Shield</w:t>
      </w:r>
      <w:proofErr w:type="spellEnd"/>
      <w:r w:rsidRPr="002E40AC">
        <w:rPr>
          <w:rFonts w:ascii="Calibri" w:hAnsi="Calibri"/>
          <w:bCs/>
          <w:sz w:val="28"/>
          <w:szCs w:val="28"/>
        </w:rPr>
        <w:t xml:space="preserve"> doit enregistrer les plaintes ainsi que les plaintes envoyées sur un formulaire de plainte dans le contex</w:t>
      </w:r>
      <w:r>
        <w:rPr>
          <w:rFonts w:ascii="Calibri" w:hAnsi="Calibri"/>
          <w:bCs/>
          <w:sz w:val="28"/>
          <w:szCs w:val="28"/>
        </w:rPr>
        <w:t xml:space="preserve">te du registre des plaintes. </w:t>
      </w:r>
      <w:r w:rsidRPr="002E40AC">
        <w:rPr>
          <w:rFonts w:ascii="Calibri" w:hAnsi="Calibri"/>
          <w:bCs/>
          <w:sz w:val="28"/>
          <w:szCs w:val="28"/>
        </w:rPr>
        <w:t>DIVERSEY INC doit pouvoir revoir ce dossier de réclamations lors d'un audit initial ou prolongé. Les plaintes concernant l'inspection ou la certification peuvent également être notées ici. Tout participant (potentiel) a le droit de déposer une plainte contre une décision de DIVERSEY INC. Cette plainte doit être soumise avec justification par écrit à DIVERSEY INC. Le champion</w:t>
      </w:r>
      <w:r w:rsidR="003B666E">
        <w:rPr>
          <w:rFonts w:ascii="Calibri" w:hAnsi="Calibri"/>
          <w:bCs/>
          <w:sz w:val="28"/>
          <w:szCs w:val="28"/>
        </w:rPr>
        <w:t xml:space="preserve"> national détenteur</w:t>
      </w:r>
      <w:r w:rsidRPr="002E40AC">
        <w:rPr>
          <w:rFonts w:ascii="Calibri" w:hAnsi="Calibri"/>
          <w:bCs/>
          <w:sz w:val="28"/>
          <w:szCs w:val="28"/>
        </w:rPr>
        <w:t xml:space="preserve"> du bouclier est compétent pour </w:t>
      </w:r>
      <w:r w:rsidRPr="002E40AC">
        <w:rPr>
          <w:rFonts w:ascii="Calibri" w:hAnsi="Calibri"/>
          <w:bCs/>
          <w:sz w:val="28"/>
          <w:szCs w:val="28"/>
        </w:rPr>
        <w:lastRenderedPageBreak/>
        <w:t>traiter la plainte. Après</w:t>
      </w:r>
      <w:r w:rsidR="003B666E">
        <w:rPr>
          <w:rFonts w:ascii="Calibri" w:hAnsi="Calibri"/>
          <w:bCs/>
          <w:sz w:val="28"/>
          <w:szCs w:val="28"/>
        </w:rPr>
        <w:t xml:space="preserve"> une évaluation approfondie, </w:t>
      </w:r>
      <w:r w:rsidRPr="002E40AC">
        <w:rPr>
          <w:rFonts w:ascii="Calibri" w:hAnsi="Calibri"/>
          <w:bCs/>
          <w:sz w:val="28"/>
          <w:szCs w:val="28"/>
        </w:rPr>
        <w:t>DIVERSEY INC informera le participant concerné de la décision motivée par courrier.</w:t>
      </w:r>
    </w:p>
    <w:p w14:paraId="5ACDEFE1" w14:textId="77777777" w:rsidR="003B666E" w:rsidRP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Cs/>
          <w:sz w:val="28"/>
          <w:szCs w:val="28"/>
        </w:rPr>
      </w:pPr>
    </w:p>
    <w:p w14:paraId="29785E96" w14:textId="77777777" w:rsid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sz w:val="28"/>
          <w:szCs w:val="28"/>
          <w:lang w:eastAsia="fr-BE"/>
        </w:rPr>
      </w:pPr>
      <w:r w:rsidRPr="003B666E">
        <w:rPr>
          <w:rFonts w:ascii="Calibri" w:eastAsia="Times New Roman" w:hAnsi="Calibri" w:cs="Times New Roman"/>
          <w:b/>
          <w:bCs/>
          <w:sz w:val="28"/>
          <w:szCs w:val="28"/>
          <w:lang w:eastAsia="fr-BE"/>
        </w:rPr>
        <w:t xml:space="preserve">7. ÉCHANGE DE DONNÉES </w:t>
      </w:r>
    </w:p>
    <w:p w14:paraId="4007B1D3" w14:textId="77777777" w:rsid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sz w:val="28"/>
          <w:szCs w:val="28"/>
          <w:lang w:eastAsia="fr-BE"/>
        </w:rPr>
      </w:pPr>
      <w:r w:rsidRPr="003B666E">
        <w:rPr>
          <w:rFonts w:ascii="Calibri" w:eastAsia="Times New Roman" w:hAnsi="Calibri" w:cs="Times New Roman"/>
          <w:bCs/>
          <w:sz w:val="28"/>
          <w:szCs w:val="28"/>
          <w:lang w:eastAsia="fr-BE"/>
        </w:rPr>
        <w:t xml:space="preserve">Dans le cadre de l'exécution des audits de bouclier, chaque participant accorde à DIVERSEY INC ou à ses mandataires l'accès à tous les sites, documents et informations pertinentes. DIVERSEY INC s'assure que le résultat d'une inspection et la décision de certification sont systématiquement renvoyés au participant concerné. Chaque participant au système du programme </w:t>
      </w:r>
      <w:proofErr w:type="spellStart"/>
      <w:r w:rsidRPr="003B666E">
        <w:rPr>
          <w:rFonts w:ascii="Calibri" w:eastAsia="Times New Roman" w:hAnsi="Calibri" w:cs="Times New Roman"/>
          <w:bCs/>
          <w:sz w:val="28"/>
          <w:szCs w:val="28"/>
          <w:lang w:eastAsia="fr-BE"/>
        </w:rPr>
        <w:t>Shield</w:t>
      </w:r>
      <w:proofErr w:type="spellEnd"/>
      <w:r w:rsidRPr="003B666E">
        <w:rPr>
          <w:rFonts w:ascii="Calibri" w:eastAsia="Times New Roman" w:hAnsi="Calibri" w:cs="Times New Roman"/>
          <w:bCs/>
          <w:sz w:val="28"/>
          <w:szCs w:val="28"/>
          <w:lang w:eastAsia="fr-BE"/>
        </w:rPr>
        <w:t xml:space="preserve"> accorde à DIVERSEY INC le droit inconditionnel et irrévocable de soumettre des infractions aux paramètres inclus dans le programme </w:t>
      </w:r>
      <w:proofErr w:type="spellStart"/>
      <w:r w:rsidRPr="003B666E">
        <w:rPr>
          <w:rFonts w:ascii="Calibri" w:eastAsia="Times New Roman" w:hAnsi="Calibri" w:cs="Times New Roman"/>
          <w:bCs/>
          <w:sz w:val="28"/>
          <w:szCs w:val="28"/>
          <w:lang w:eastAsia="fr-BE"/>
        </w:rPr>
        <w:t>Shield</w:t>
      </w:r>
      <w:proofErr w:type="spellEnd"/>
      <w:r w:rsidRPr="003B666E">
        <w:rPr>
          <w:rFonts w:ascii="Calibri" w:eastAsia="Times New Roman" w:hAnsi="Calibri" w:cs="Times New Roman"/>
          <w:bCs/>
          <w:sz w:val="28"/>
          <w:szCs w:val="28"/>
          <w:lang w:eastAsia="fr-BE"/>
        </w:rPr>
        <w:t xml:space="preserve"> tels que constatés par les auditeurs de </w:t>
      </w:r>
      <w:proofErr w:type="spellStart"/>
      <w:r w:rsidRPr="003B666E">
        <w:rPr>
          <w:rFonts w:ascii="Calibri" w:eastAsia="Times New Roman" w:hAnsi="Calibri" w:cs="Times New Roman"/>
          <w:bCs/>
          <w:sz w:val="28"/>
          <w:szCs w:val="28"/>
          <w:lang w:eastAsia="fr-BE"/>
        </w:rPr>
        <w:t>Diversey</w:t>
      </w:r>
      <w:proofErr w:type="spellEnd"/>
      <w:r w:rsidRPr="003B666E">
        <w:rPr>
          <w:rFonts w:ascii="Calibri" w:eastAsia="Times New Roman" w:hAnsi="Calibri" w:cs="Times New Roman"/>
          <w:bCs/>
          <w:sz w:val="28"/>
          <w:szCs w:val="28"/>
          <w:lang w:eastAsia="fr-BE"/>
        </w:rPr>
        <w:t xml:space="preserve"> Consulting ou leur mandataire. DIVERSEY INC verra ces constatations indirectement reçues sanctionnées par DIVERSEY INC conformément au présent règlement. DIVERSEY INC partagera les informations pertinentes (telles que les coordonnées du client) avec des tiers ou des individus qui effectuent les audits</w:t>
      </w:r>
      <w:r w:rsidRPr="003B666E">
        <w:rPr>
          <w:rFonts w:ascii="Calibri" w:eastAsia="Times New Roman" w:hAnsi="Calibri" w:cs="Times New Roman"/>
          <w:b/>
          <w:bCs/>
          <w:sz w:val="28"/>
          <w:szCs w:val="28"/>
          <w:lang w:eastAsia="fr-BE"/>
        </w:rPr>
        <w:t xml:space="preserve">. </w:t>
      </w:r>
    </w:p>
    <w:p w14:paraId="1652AA02" w14:textId="77777777" w:rsid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sz w:val="28"/>
          <w:szCs w:val="28"/>
          <w:lang w:eastAsia="fr-BE"/>
        </w:rPr>
      </w:pPr>
    </w:p>
    <w:p w14:paraId="7C50D981" w14:textId="405189AA" w:rsid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sz w:val="28"/>
          <w:szCs w:val="28"/>
          <w:lang w:eastAsia="fr-BE"/>
        </w:rPr>
      </w:pPr>
      <w:r w:rsidRPr="003B666E">
        <w:rPr>
          <w:rFonts w:ascii="Calibri" w:eastAsia="Times New Roman" w:hAnsi="Calibri" w:cs="Times New Roman"/>
          <w:b/>
          <w:bCs/>
          <w:sz w:val="28"/>
          <w:szCs w:val="28"/>
          <w:lang w:eastAsia="fr-BE"/>
        </w:rPr>
        <w:t xml:space="preserve">8. UTILISATION DU LOGO ET DE LA COMMUNICATION DU </w:t>
      </w:r>
      <w:r w:rsidR="00E73703">
        <w:rPr>
          <w:rFonts w:ascii="Calibri" w:eastAsia="Times New Roman" w:hAnsi="Calibri" w:cs="Times New Roman"/>
          <w:b/>
          <w:bCs/>
          <w:sz w:val="28"/>
          <w:szCs w:val="28"/>
          <w:lang w:eastAsia="fr-BE"/>
        </w:rPr>
        <w:t>BOUCLIER</w:t>
      </w:r>
    </w:p>
    <w:p w14:paraId="1C7C121D" w14:textId="77777777" w:rsid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fr-BE"/>
        </w:rPr>
      </w:pPr>
      <w:r w:rsidRPr="003B666E">
        <w:rPr>
          <w:rFonts w:ascii="Calibri" w:eastAsia="Times New Roman" w:hAnsi="Calibri" w:cs="Times New Roman"/>
          <w:bCs/>
          <w:sz w:val="28"/>
          <w:szCs w:val="28"/>
          <w:lang w:eastAsia="fr-BE"/>
        </w:rPr>
        <w:t xml:space="preserve">Les droits d'auteur sur tous les rapports, logo de bouclier, présentations et autres éléments fournis au participant par </w:t>
      </w:r>
      <w:proofErr w:type="spellStart"/>
      <w:r w:rsidRPr="003B666E">
        <w:rPr>
          <w:rFonts w:ascii="Calibri" w:eastAsia="Times New Roman" w:hAnsi="Calibri" w:cs="Times New Roman"/>
          <w:bCs/>
          <w:sz w:val="28"/>
          <w:szCs w:val="28"/>
          <w:lang w:eastAsia="fr-BE"/>
        </w:rPr>
        <w:t>Diversey</w:t>
      </w:r>
      <w:proofErr w:type="spellEnd"/>
      <w:r w:rsidRPr="003B666E">
        <w:rPr>
          <w:rFonts w:ascii="Calibri" w:eastAsia="Times New Roman" w:hAnsi="Calibri" w:cs="Times New Roman"/>
          <w:bCs/>
          <w:sz w:val="28"/>
          <w:szCs w:val="28"/>
          <w:lang w:eastAsia="fr-BE"/>
        </w:rPr>
        <w:t xml:space="preserve"> Consulting ou autrement générés dans le cadre de la fourniture de services (que ce soit sous forme physique ou électronique) restent la propriété de </w:t>
      </w:r>
      <w:proofErr w:type="spellStart"/>
      <w:r w:rsidRPr="003B666E">
        <w:rPr>
          <w:rFonts w:ascii="Calibri" w:eastAsia="Times New Roman" w:hAnsi="Calibri" w:cs="Times New Roman"/>
          <w:bCs/>
          <w:sz w:val="28"/>
          <w:szCs w:val="28"/>
          <w:lang w:eastAsia="fr-BE"/>
        </w:rPr>
        <w:t>Diversey</w:t>
      </w:r>
      <w:proofErr w:type="spellEnd"/>
      <w:r w:rsidRPr="003B666E">
        <w:rPr>
          <w:rFonts w:ascii="Calibri" w:eastAsia="Times New Roman" w:hAnsi="Calibri" w:cs="Times New Roman"/>
          <w:bCs/>
          <w:sz w:val="28"/>
          <w:szCs w:val="28"/>
          <w:lang w:eastAsia="fr-BE"/>
        </w:rPr>
        <w:t xml:space="preserve"> Consulting. </w:t>
      </w:r>
    </w:p>
    <w:p w14:paraId="5D393D12" w14:textId="77777777" w:rsid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fr-BE"/>
        </w:rPr>
      </w:pPr>
    </w:p>
    <w:p w14:paraId="3B69291D" w14:textId="712716E1" w:rsidR="003B666E" w:rsidRP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Cs/>
          <w:sz w:val="28"/>
          <w:szCs w:val="28"/>
          <w:lang w:eastAsia="fr-BE"/>
        </w:rPr>
      </w:pPr>
      <w:r w:rsidRPr="003B666E">
        <w:rPr>
          <w:rFonts w:ascii="Calibri" w:eastAsia="Times New Roman" w:hAnsi="Calibri" w:cs="Times New Roman"/>
          <w:bCs/>
          <w:sz w:val="28"/>
          <w:szCs w:val="28"/>
          <w:lang w:eastAsia="fr-BE"/>
        </w:rPr>
        <w:t xml:space="preserve">Sous réserve du paiement intégral de tous les frais et dépenses dus au titre des Services, le participant aura le droit d'utiliser tous les rapports ou documents écrits reçus de </w:t>
      </w:r>
      <w:proofErr w:type="spellStart"/>
      <w:r w:rsidRPr="003B666E">
        <w:rPr>
          <w:rFonts w:ascii="Calibri" w:eastAsia="Times New Roman" w:hAnsi="Calibri" w:cs="Times New Roman"/>
          <w:bCs/>
          <w:sz w:val="28"/>
          <w:szCs w:val="28"/>
          <w:lang w:eastAsia="fr-BE"/>
        </w:rPr>
        <w:t>Diversey</w:t>
      </w:r>
      <w:proofErr w:type="spellEnd"/>
      <w:r w:rsidRPr="003B666E">
        <w:rPr>
          <w:rFonts w:ascii="Calibri" w:eastAsia="Times New Roman" w:hAnsi="Calibri" w:cs="Times New Roman"/>
          <w:bCs/>
          <w:sz w:val="28"/>
          <w:szCs w:val="28"/>
          <w:lang w:eastAsia="fr-BE"/>
        </w:rPr>
        <w:t xml:space="preserve"> Consulting à l'emplacement individuel recevant les Services à des fins internes uniquement. Sous réserve du paiement intégral de tous les frais et dépenses dus au titre des Services, le participant a le droit d'util</w:t>
      </w:r>
      <w:r w:rsidR="00E73703">
        <w:rPr>
          <w:rFonts w:ascii="Calibri" w:eastAsia="Times New Roman" w:hAnsi="Calibri" w:cs="Times New Roman"/>
          <w:bCs/>
          <w:sz w:val="28"/>
          <w:szCs w:val="28"/>
          <w:lang w:eastAsia="fr-BE"/>
        </w:rPr>
        <w:t>iser le logo du bouclier reçu par</w:t>
      </w:r>
      <w:r w:rsidRPr="003B666E">
        <w:rPr>
          <w:rFonts w:ascii="Calibri" w:eastAsia="Times New Roman" w:hAnsi="Calibri" w:cs="Times New Roman"/>
          <w:bCs/>
          <w:sz w:val="28"/>
          <w:szCs w:val="28"/>
          <w:lang w:eastAsia="fr-BE"/>
        </w:rPr>
        <w:t xml:space="preserve"> </w:t>
      </w:r>
      <w:proofErr w:type="spellStart"/>
      <w:r w:rsidRPr="003B666E">
        <w:rPr>
          <w:rFonts w:ascii="Calibri" w:eastAsia="Times New Roman" w:hAnsi="Calibri" w:cs="Times New Roman"/>
          <w:bCs/>
          <w:sz w:val="28"/>
          <w:szCs w:val="28"/>
          <w:lang w:eastAsia="fr-BE"/>
        </w:rPr>
        <w:t>Diversey</w:t>
      </w:r>
      <w:proofErr w:type="spellEnd"/>
      <w:r w:rsidRPr="003B666E">
        <w:rPr>
          <w:rFonts w:ascii="Calibri" w:eastAsia="Times New Roman" w:hAnsi="Calibri" w:cs="Times New Roman"/>
          <w:bCs/>
          <w:sz w:val="28"/>
          <w:szCs w:val="28"/>
          <w:lang w:eastAsia="fr-BE"/>
        </w:rPr>
        <w:t xml:space="preserve"> Consulting à l'endroit individuel recevant les Services à des fins externes. Des copies supplémentaires peuvent être demandées moyennant des frais supplémentaires. Le participant n'a pas le droit de copier le journal et / ou le matériel du bouclier en tout ou en partie. Ce n’est qu’après l’accord écrit de </w:t>
      </w:r>
      <w:proofErr w:type="spellStart"/>
      <w:r w:rsidRPr="003B666E">
        <w:rPr>
          <w:rFonts w:ascii="Calibri" w:eastAsia="Times New Roman" w:hAnsi="Calibri" w:cs="Times New Roman"/>
          <w:bCs/>
          <w:sz w:val="28"/>
          <w:szCs w:val="28"/>
          <w:lang w:eastAsia="fr-BE"/>
        </w:rPr>
        <w:t>Diversey</w:t>
      </w:r>
      <w:proofErr w:type="spellEnd"/>
      <w:r w:rsidRPr="003B666E">
        <w:rPr>
          <w:rFonts w:ascii="Calibri" w:eastAsia="Times New Roman" w:hAnsi="Calibri" w:cs="Times New Roman"/>
          <w:bCs/>
          <w:sz w:val="28"/>
          <w:szCs w:val="28"/>
          <w:lang w:eastAsia="fr-BE"/>
        </w:rPr>
        <w:t xml:space="preserve"> que l’utilisation des logos de protection est autorisée par le groupe du participant sur tout forum numérique (site Web, médias sociaux, etc.) ou dans tout format imprimé. Le participant accorde le droit à </w:t>
      </w:r>
      <w:proofErr w:type="spellStart"/>
      <w:r w:rsidRPr="003B666E">
        <w:rPr>
          <w:rFonts w:ascii="Calibri" w:eastAsia="Times New Roman" w:hAnsi="Calibri" w:cs="Times New Roman"/>
          <w:bCs/>
          <w:sz w:val="28"/>
          <w:szCs w:val="28"/>
          <w:lang w:eastAsia="fr-BE"/>
        </w:rPr>
        <w:t>Diversey</w:t>
      </w:r>
      <w:proofErr w:type="spellEnd"/>
      <w:r w:rsidRPr="003B666E">
        <w:rPr>
          <w:rFonts w:ascii="Calibri" w:eastAsia="Times New Roman" w:hAnsi="Calibri" w:cs="Times New Roman"/>
          <w:bCs/>
          <w:sz w:val="28"/>
          <w:szCs w:val="28"/>
          <w:lang w:eastAsia="fr-BE"/>
        </w:rPr>
        <w:t xml:space="preserve"> Consulting de publier la </w:t>
      </w:r>
      <w:r w:rsidR="00427171">
        <w:rPr>
          <w:rFonts w:ascii="Calibri" w:eastAsia="Times New Roman" w:hAnsi="Calibri" w:cs="Times New Roman"/>
          <w:bCs/>
          <w:sz w:val="28"/>
          <w:szCs w:val="28"/>
          <w:lang w:eastAsia="fr-BE"/>
        </w:rPr>
        <w:t>liste des participants agréés du programme</w:t>
      </w:r>
      <w:r w:rsidRPr="003B666E">
        <w:rPr>
          <w:rFonts w:ascii="Calibri" w:eastAsia="Times New Roman" w:hAnsi="Calibri" w:cs="Times New Roman"/>
          <w:bCs/>
          <w:sz w:val="28"/>
          <w:szCs w:val="28"/>
          <w:lang w:eastAsia="fr-BE"/>
        </w:rPr>
        <w:t xml:space="preserve"> </w:t>
      </w:r>
      <w:proofErr w:type="spellStart"/>
      <w:r w:rsidRPr="003B666E">
        <w:rPr>
          <w:rFonts w:ascii="Calibri" w:eastAsia="Times New Roman" w:hAnsi="Calibri" w:cs="Times New Roman"/>
          <w:bCs/>
          <w:sz w:val="28"/>
          <w:szCs w:val="28"/>
          <w:lang w:eastAsia="fr-BE"/>
        </w:rPr>
        <w:t>Shield</w:t>
      </w:r>
      <w:proofErr w:type="spellEnd"/>
      <w:r w:rsidRPr="003B666E">
        <w:rPr>
          <w:rFonts w:ascii="Calibri" w:eastAsia="Times New Roman" w:hAnsi="Calibri" w:cs="Times New Roman"/>
          <w:bCs/>
          <w:sz w:val="28"/>
          <w:szCs w:val="28"/>
          <w:lang w:eastAsia="fr-BE"/>
        </w:rPr>
        <w:t xml:space="preserve"> sur leur site Internet ou tout autre moyen de communication externe.</w:t>
      </w:r>
    </w:p>
    <w:p w14:paraId="5DD29CA3" w14:textId="77777777" w:rsidR="003B666E" w:rsidRDefault="003B666E"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8"/>
          <w:szCs w:val="28"/>
        </w:rPr>
      </w:pPr>
    </w:p>
    <w:p w14:paraId="4F59FFF5" w14:textId="77777777" w:rsidR="005A5059" w:rsidRDefault="005A5059"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sz w:val="28"/>
          <w:szCs w:val="28"/>
        </w:rPr>
      </w:pPr>
      <w:r w:rsidRPr="005A5059">
        <w:rPr>
          <w:rFonts w:ascii="Calibri" w:hAnsi="Calibri"/>
          <w:b/>
          <w:bCs/>
          <w:sz w:val="28"/>
          <w:szCs w:val="28"/>
        </w:rPr>
        <w:t xml:space="preserve">8.1. Obligation de déclarer </w:t>
      </w:r>
    </w:p>
    <w:p w14:paraId="5A7194FF" w14:textId="651CB554" w:rsidR="005A5059" w:rsidRPr="005A5059" w:rsidRDefault="005A5059"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Cs/>
          <w:sz w:val="28"/>
          <w:szCs w:val="28"/>
        </w:rPr>
      </w:pPr>
      <w:r w:rsidRPr="005A5059">
        <w:rPr>
          <w:rFonts w:ascii="Calibri" w:hAnsi="Calibri"/>
          <w:bCs/>
          <w:sz w:val="28"/>
          <w:szCs w:val="28"/>
        </w:rPr>
        <w:lastRenderedPageBreak/>
        <w:t xml:space="preserve">Chaque participant est tenu d'informer immédiatement </w:t>
      </w:r>
      <w:proofErr w:type="spellStart"/>
      <w:r w:rsidRPr="005A5059">
        <w:rPr>
          <w:rFonts w:ascii="Calibri" w:hAnsi="Calibri"/>
          <w:bCs/>
          <w:sz w:val="28"/>
          <w:szCs w:val="28"/>
        </w:rPr>
        <w:t>Diversey</w:t>
      </w:r>
      <w:proofErr w:type="spellEnd"/>
      <w:r w:rsidRPr="005A5059">
        <w:rPr>
          <w:rFonts w:ascii="Calibri" w:hAnsi="Calibri"/>
          <w:bCs/>
          <w:sz w:val="28"/>
          <w:szCs w:val="28"/>
        </w:rPr>
        <w:t xml:space="preserve"> Consulting s'il est informé de tout incident grave de situation de crise de quelque nature que ce soit pouvant affecter la sécurité alimentaire et / ou la santé publique. Par exemple (liste non exhaustive)</w:t>
      </w:r>
      <w:r>
        <w:rPr>
          <w:rFonts w:ascii="Calibri" w:hAnsi="Calibri"/>
          <w:bCs/>
          <w:sz w:val="28"/>
          <w:szCs w:val="28"/>
        </w:rPr>
        <w:t xml:space="preserve"> : l</w:t>
      </w:r>
      <w:r w:rsidRPr="005A5059">
        <w:rPr>
          <w:rFonts w:ascii="Calibri" w:hAnsi="Calibri"/>
          <w:bCs/>
          <w:sz w:val="28"/>
          <w:szCs w:val="28"/>
        </w:rPr>
        <w:t xml:space="preserve">e retrait de l'autorisation officielle de produire, fabriquer ou manipuler des denrées alimentaires. Dans le cadre de la loi sur la déclaration obligatoire, chaque participant au bouclier </w:t>
      </w:r>
      <w:r>
        <w:rPr>
          <w:rFonts w:ascii="Calibri" w:hAnsi="Calibri"/>
          <w:bCs/>
          <w:sz w:val="28"/>
          <w:szCs w:val="28"/>
        </w:rPr>
        <w:t>de sécurité alimentaire et COVID</w:t>
      </w:r>
      <w:r w:rsidRPr="005A5059">
        <w:rPr>
          <w:rFonts w:ascii="Calibri" w:hAnsi="Calibri"/>
          <w:bCs/>
          <w:sz w:val="28"/>
          <w:szCs w:val="28"/>
        </w:rPr>
        <w:t xml:space="preserve">-19 accorde également à </w:t>
      </w:r>
      <w:proofErr w:type="spellStart"/>
      <w:r w:rsidRPr="005A5059">
        <w:rPr>
          <w:rFonts w:ascii="Calibri" w:hAnsi="Calibri"/>
          <w:bCs/>
          <w:sz w:val="28"/>
          <w:szCs w:val="28"/>
        </w:rPr>
        <w:t>Diversey</w:t>
      </w:r>
      <w:proofErr w:type="spellEnd"/>
      <w:r w:rsidRPr="005A5059">
        <w:rPr>
          <w:rFonts w:ascii="Calibri" w:hAnsi="Calibri"/>
          <w:bCs/>
          <w:sz w:val="28"/>
          <w:szCs w:val="28"/>
        </w:rPr>
        <w:t xml:space="preserve"> Consulting et / ou aux organismes d'inspection agréés par </w:t>
      </w:r>
      <w:proofErr w:type="spellStart"/>
      <w:r w:rsidRPr="005A5059">
        <w:rPr>
          <w:rFonts w:ascii="Calibri" w:hAnsi="Calibri"/>
          <w:bCs/>
          <w:sz w:val="28"/>
          <w:szCs w:val="28"/>
        </w:rPr>
        <w:t>Diversey</w:t>
      </w:r>
      <w:proofErr w:type="spellEnd"/>
      <w:r w:rsidRPr="005A5059">
        <w:rPr>
          <w:rFonts w:ascii="Calibri" w:hAnsi="Calibri"/>
          <w:bCs/>
          <w:sz w:val="28"/>
          <w:szCs w:val="28"/>
        </w:rPr>
        <w:t xml:space="preserve"> Consulting le droit inconditionnel et irrévocable de notifier aux autorités et organisations compétentes, tout</w:t>
      </w:r>
      <w:r>
        <w:rPr>
          <w:rFonts w:ascii="Calibri" w:hAnsi="Calibri"/>
          <w:bCs/>
          <w:sz w:val="28"/>
          <w:szCs w:val="28"/>
        </w:rPr>
        <w:t>es</w:t>
      </w:r>
      <w:r w:rsidRPr="005A5059">
        <w:rPr>
          <w:rFonts w:ascii="Calibri" w:hAnsi="Calibri"/>
          <w:bCs/>
          <w:sz w:val="28"/>
          <w:szCs w:val="28"/>
        </w:rPr>
        <w:t xml:space="preserve"> infractions constatées (obtenues au moyen d'inspections) susceptibles de nuire à la santé publique. </w:t>
      </w:r>
    </w:p>
    <w:p w14:paraId="5E1AB459" w14:textId="77777777" w:rsidR="005A5059" w:rsidRDefault="005A5059"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sz w:val="28"/>
          <w:szCs w:val="28"/>
        </w:rPr>
      </w:pPr>
    </w:p>
    <w:p w14:paraId="4185A375" w14:textId="77777777" w:rsidR="005A5059" w:rsidRDefault="005A5059"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sz w:val="28"/>
          <w:szCs w:val="28"/>
        </w:rPr>
      </w:pPr>
      <w:r w:rsidRPr="005A5059">
        <w:rPr>
          <w:rFonts w:ascii="Calibri" w:hAnsi="Calibri"/>
          <w:b/>
          <w:bCs/>
          <w:sz w:val="28"/>
          <w:szCs w:val="28"/>
        </w:rPr>
        <w:t xml:space="preserve">9. RESPONSABILITÉ </w:t>
      </w:r>
    </w:p>
    <w:p w14:paraId="4BD9BBFB" w14:textId="47379126" w:rsidR="005A5059" w:rsidRDefault="005A5059" w:rsidP="00C3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Cs/>
          <w:sz w:val="28"/>
          <w:szCs w:val="28"/>
        </w:rPr>
      </w:pPr>
      <w:proofErr w:type="spellStart"/>
      <w:r w:rsidRPr="005A5059">
        <w:rPr>
          <w:rFonts w:ascii="Calibri" w:hAnsi="Calibri"/>
          <w:bCs/>
          <w:sz w:val="28"/>
          <w:szCs w:val="28"/>
        </w:rPr>
        <w:t>Diversey</w:t>
      </w:r>
      <w:proofErr w:type="spellEnd"/>
      <w:r w:rsidRPr="005A5059">
        <w:rPr>
          <w:rFonts w:ascii="Calibri" w:hAnsi="Calibri"/>
          <w:bCs/>
          <w:sz w:val="28"/>
          <w:szCs w:val="28"/>
        </w:rPr>
        <w:t xml:space="preserve"> ne pourra en aucun cas être tenu responsable envers un participant pour toute perte ou dommage, que ce soit dans un contrat, un délit (y compris mais sans s'y limiter, une négligence), un manquement à une obligation légale ou autre, qui survient sous ou en r</w:t>
      </w:r>
      <w:r>
        <w:rPr>
          <w:rFonts w:ascii="Calibri" w:hAnsi="Calibri"/>
          <w:bCs/>
          <w:sz w:val="28"/>
          <w:szCs w:val="28"/>
        </w:rPr>
        <w:t>elation avec l'utilisation du</w:t>
      </w:r>
      <w:r w:rsidRPr="005A5059">
        <w:rPr>
          <w:rFonts w:ascii="Calibri" w:hAnsi="Calibri"/>
          <w:bCs/>
          <w:sz w:val="28"/>
          <w:szCs w:val="28"/>
        </w:rPr>
        <w:t xml:space="preserve"> Bouclier, par le participant. Les supports de communication </w:t>
      </w:r>
      <w:proofErr w:type="spellStart"/>
      <w:r w:rsidRPr="005A5059">
        <w:rPr>
          <w:rFonts w:ascii="Calibri" w:hAnsi="Calibri"/>
          <w:bCs/>
          <w:sz w:val="28"/>
          <w:szCs w:val="28"/>
        </w:rPr>
        <w:t>Shield</w:t>
      </w:r>
      <w:proofErr w:type="spellEnd"/>
      <w:r w:rsidRPr="005A5059">
        <w:rPr>
          <w:rFonts w:ascii="Calibri" w:hAnsi="Calibri"/>
          <w:bCs/>
          <w:sz w:val="28"/>
          <w:szCs w:val="28"/>
        </w:rPr>
        <w:t xml:space="preserve"> ne remplacent pas la responsabilité de chaque utilisateur d'évaluer les exigences opérationnelles, légales et autres</w:t>
      </w:r>
      <w:r w:rsidR="001D17AD">
        <w:rPr>
          <w:rFonts w:ascii="Calibri" w:hAnsi="Calibri"/>
          <w:bCs/>
          <w:sz w:val="28"/>
          <w:szCs w:val="28"/>
        </w:rPr>
        <w:t>,</w:t>
      </w:r>
      <w:r w:rsidRPr="005A5059">
        <w:rPr>
          <w:rFonts w:ascii="Calibri" w:hAnsi="Calibri"/>
          <w:bCs/>
          <w:sz w:val="28"/>
          <w:szCs w:val="28"/>
        </w:rPr>
        <w:t xml:space="preserve"> applicables à chaque installation. Tous les logos et marques </w:t>
      </w:r>
      <w:r w:rsidR="001D17AD">
        <w:rPr>
          <w:rFonts w:ascii="Calibri" w:hAnsi="Calibri"/>
          <w:bCs/>
          <w:sz w:val="28"/>
          <w:szCs w:val="28"/>
        </w:rPr>
        <w:t xml:space="preserve">du programme </w:t>
      </w:r>
      <w:proofErr w:type="spellStart"/>
      <w:r w:rsidR="001D17AD">
        <w:rPr>
          <w:rFonts w:ascii="Calibri" w:hAnsi="Calibri"/>
          <w:bCs/>
          <w:sz w:val="28"/>
          <w:szCs w:val="28"/>
        </w:rPr>
        <w:t>Shield</w:t>
      </w:r>
      <w:proofErr w:type="spellEnd"/>
      <w:r w:rsidRPr="005A5059">
        <w:rPr>
          <w:rFonts w:ascii="Calibri" w:hAnsi="Calibri"/>
          <w:bCs/>
          <w:sz w:val="28"/>
          <w:szCs w:val="28"/>
        </w:rPr>
        <w:t xml:space="preserve"> sont la propriété ou sous licence de </w:t>
      </w:r>
      <w:proofErr w:type="spellStart"/>
      <w:r w:rsidRPr="005A5059">
        <w:rPr>
          <w:rFonts w:ascii="Calibri" w:hAnsi="Calibri"/>
          <w:bCs/>
          <w:sz w:val="28"/>
          <w:szCs w:val="28"/>
        </w:rPr>
        <w:t>Diversey</w:t>
      </w:r>
      <w:proofErr w:type="spellEnd"/>
      <w:r w:rsidRPr="005A5059">
        <w:rPr>
          <w:rFonts w:ascii="Calibri" w:hAnsi="Calibri"/>
          <w:bCs/>
          <w:sz w:val="28"/>
          <w:szCs w:val="28"/>
        </w:rPr>
        <w:t>, Inc.</w:t>
      </w:r>
    </w:p>
    <w:p w14:paraId="39C83E44" w14:textId="77777777" w:rsidR="001D17AD" w:rsidRDefault="001D17AD"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520979EA" w14:textId="77777777" w:rsidR="001D17AD" w:rsidRDefault="001D17AD"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2D33F9CA" w14:textId="77777777" w:rsidR="00D4309D" w:rsidRDefault="00D4309D"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7CFAFD55"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43D59081"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73156A9E"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17A833B9"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2AD511A8"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4B131E84"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3786888B"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3F310720"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56EB2D2B"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17309C98"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3EF4421E"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3B995D01"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0591BC9E"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42FDB74A"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1A6D6D13"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72FE278C" w14:textId="77777777" w:rsidR="009B1E5B" w:rsidRDefault="009B1E5B"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tbl>
      <w:tblPr>
        <w:tblW w:w="10094" w:type="dxa"/>
        <w:tblInd w:w="-3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5166"/>
      </w:tblGrid>
      <w:tr w:rsidR="00D4309D" w:rsidRPr="002E2553" w14:paraId="4B7197CD" w14:textId="77777777" w:rsidTr="00D4309D">
        <w:tc>
          <w:tcPr>
            <w:tcW w:w="10094" w:type="dxa"/>
            <w:gridSpan w:val="2"/>
            <w:tcBorders>
              <w:top w:val="single" w:sz="18" w:space="0" w:color="auto"/>
              <w:bottom w:val="single" w:sz="18" w:space="0" w:color="auto"/>
            </w:tcBorders>
            <w:shd w:val="clear" w:color="auto" w:fill="auto"/>
          </w:tcPr>
          <w:p w14:paraId="02B28F41" w14:textId="77777777" w:rsidR="00D4309D" w:rsidRPr="00580B40" w:rsidRDefault="00D4309D" w:rsidP="00D4309D">
            <w:pPr>
              <w:jc w:val="center"/>
              <w:rPr>
                <w:rFonts w:eastAsia="Calibri" w:cs="Arial"/>
                <w:b/>
                <w:color w:val="000000"/>
                <w:sz w:val="28"/>
                <w:szCs w:val="28"/>
              </w:rPr>
            </w:pPr>
          </w:p>
          <w:p w14:paraId="172E7134" w14:textId="4CBA942B" w:rsidR="00D4309D" w:rsidRPr="00FB7AE6" w:rsidRDefault="00D4309D" w:rsidP="00D4309D">
            <w:pPr>
              <w:jc w:val="center"/>
              <w:rPr>
                <w:rFonts w:eastAsia="Calibri" w:cs="Arial"/>
                <w:b/>
                <w:color w:val="000000"/>
                <w:sz w:val="28"/>
                <w:szCs w:val="28"/>
                <w:lang w:val="en-GB"/>
              </w:rPr>
            </w:pPr>
            <w:r>
              <w:rPr>
                <w:rFonts w:eastAsia="Calibri" w:cs="Arial"/>
                <w:b/>
                <w:color w:val="000000"/>
                <w:sz w:val="28"/>
                <w:szCs w:val="28"/>
                <w:lang w:val="en-GB"/>
              </w:rPr>
              <w:t>FORMULAIRE D’AFFILIATION</w:t>
            </w:r>
          </w:p>
          <w:p w14:paraId="6BB9A165" w14:textId="0CA0AD6B" w:rsidR="00D4309D" w:rsidRPr="00580B40" w:rsidRDefault="00D4309D" w:rsidP="00D4309D">
            <w:pPr>
              <w:jc w:val="center"/>
              <w:rPr>
                <w:rFonts w:eastAsia="Calibri"/>
                <w:color w:val="000000"/>
                <w:sz w:val="18"/>
                <w:szCs w:val="18"/>
              </w:rPr>
            </w:pPr>
            <w:r w:rsidRPr="00580B40">
              <w:rPr>
                <w:rFonts w:eastAsia="Calibri"/>
                <w:color w:val="000000"/>
                <w:sz w:val="18"/>
                <w:szCs w:val="18"/>
              </w:rPr>
              <w:t xml:space="preserve">(il est </w:t>
            </w:r>
            <w:r w:rsidRPr="00580B40">
              <w:rPr>
                <w:rFonts w:eastAsia="Calibri"/>
                <w:b/>
                <w:color w:val="000000"/>
                <w:sz w:val="18"/>
                <w:szCs w:val="18"/>
                <w:u w:val="single"/>
              </w:rPr>
              <w:t>obligatoire</w:t>
            </w:r>
            <w:r w:rsidRPr="00580B40">
              <w:rPr>
                <w:rFonts w:eastAsia="Calibri"/>
                <w:b/>
                <w:color w:val="000000"/>
                <w:sz w:val="18"/>
                <w:szCs w:val="18"/>
              </w:rPr>
              <w:t xml:space="preserve"> </w:t>
            </w:r>
            <w:r w:rsidRPr="00580B40">
              <w:rPr>
                <w:rFonts w:eastAsia="Calibri"/>
                <w:color w:val="000000"/>
                <w:sz w:val="18"/>
                <w:szCs w:val="18"/>
              </w:rPr>
              <w:t>de remplir tous les détails demandés)</w:t>
            </w:r>
          </w:p>
        </w:tc>
      </w:tr>
      <w:tr w:rsidR="00D4309D" w:rsidRPr="002E2553" w14:paraId="0DFE7002" w14:textId="77777777" w:rsidTr="00D4309D">
        <w:trPr>
          <w:trHeight w:val="567"/>
        </w:trPr>
        <w:tc>
          <w:tcPr>
            <w:tcW w:w="10094" w:type="dxa"/>
            <w:gridSpan w:val="2"/>
            <w:tcBorders>
              <w:top w:val="single" w:sz="18" w:space="0" w:color="auto"/>
            </w:tcBorders>
            <w:shd w:val="clear" w:color="auto" w:fill="auto"/>
            <w:vAlign w:val="center"/>
          </w:tcPr>
          <w:p w14:paraId="5FD973E7" w14:textId="77777777" w:rsidR="00D4309D" w:rsidRPr="00580B40" w:rsidRDefault="00D4309D" w:rsidP="00D4309D">
            <w:pPr>
              <w:tabs>
                <w:tab w:val="right" w:leader="dot" w:pos="4571"/>
              </w:tabs>
              <w:rPr>
                <w:rFonts w:eastAsia="Calibri"/>
                <w:color w:val="000000"/>
                <w:sz w:val="18"/>
                <w:szCs w:val="18"/>
              </w:rPr>
            </w:pPr>
          </w:p>
          <w:p w14:paraId="34405C5B" w14:textId="2C1E1356" w:rsidR="00D4309D" w:rsidRPr="002E2553" w:rsidRDefault="00D4309D" w:rsidP="00D4309D">
            <w:pPr>
              <w:tabs>
                <w:tab w:val="right" w:leader="dot" w:pos="9816"/>
              </w:tabs>
              <w:rPr>
                <w:rFonts w:eastAsia="Calibri"/>
                <w:color w:val="000000"/>
                <w:sz w:val="18"/>
                <w:szCs w:val="18"/>
                <w:lang w:val="en-GB"/>
              </w:rPr>
            </w:pPr>
            <w:r>
              <w:rPr>
                <w:rFonts w:eastAsia="Calibri"/>
                <w:color w:val="000000"/>
                <w:sz w:val="18"/>
                <w:szCs w:val="18"/>
                <w:lang w:val="en-GB"/>
              </w:rPr>
              <w:t xml:space="preserve">Nom de </w:t>
            </w:r>
            <w:proofErr w:type="spellStart"/>
            <w:r>
              <w:rPr>
                <w:rFonts w:eastAsia="Calibri"/>
                <w:color w:val="000000"/>
                <w:sz w:val="18"/>
                <w:szCs w:val="18"/>
                <w:lang w:val="en-GB"/>
              </w:rPr>
              <w:t>l’entreprise</w:t>
            </w:r>
            <w:proofErr w:type="spellEnd"/>
            <w:r>
              <w:rPr>
                <w:rFonts w:eastAsia="Calibri"/>
                <w:color w:val="000000"/>
                <w:sz w:val="18"/>
                <w:szCs w:val="18"/>
                <w:lang w:val="en-GB"/>
              </w:rPr>
              <w:t xml:space="preserve"> </w:t>
            </w:r>
            <w:r w:rsidRPr="002E2553">
              <w:rPr>
                <w:rFonts w:eastAsia="Calibri"/>
                <w:color w:val="000000"/>
                <w:sz w:val="18"/>
                <w:szCs w:val="18"/>
                <w:lang w:val="en-GB"/>
              </w:rPr>
              <w:t xml:space="preserve">: </w:t>
            </w:r>
            <w:r w:rsidRPr="002E2553">
              <w:rPr>
                <w:rFonts w:eastAsia="Calibri"/>
                <w:color w:val="000000"/>
                <w:sz w:val="18"/>
                <w:szCs w:val="18"/>
                <w:lang w:val="en-GB"/>
              </w:rPr>
              <w:tab/>
            </w:r>
          </w:p>
          <w:p w14:paraId="2423D711" w14:textId="77777777" w:rsidR="00D4309D" w:rsidRPr="002E2553" w:rsidRDefault="00D4309D" w:rsidP="00D4309D">
            <w:pPr>
              <w:tabs>
                <w:tab w:val="left" w:leader="dot" w:pos="4888"/>
              </w:tabs>
              <w:ind w:right="-79"/>
              <w:rPr>
                <w:rFonts w:eastAsia="Calibri"/>
                <w:color w:val="000000"/>
                <w:sz w:val="18"/>
                <w:szCs w:val="18"/>
                <w:lang w:val="en-GB"/>
              </w:rPr>
            </w:pPr>
          </w:p>
        </w:tc>
      </w:tr>
      <w:tr w:rsidR="00D4309D" w:rsidRPr="002E2553" w14:paraId="4573E7D5" w14:textId="77777777" w:rsidTr="00D4309D">
        <w:trPr>
          <w:trHeight w:val="567"/>
        </w:trPr>
        <w:tc>
          <w:tcPr>
            <w:tcW w:w="10094" w:type="dxa"/>
            <w:gridSpan w:val="2"/>
            <w:shd w:val="clear" w:color="auto" w:fill="auto"/>
            <w:vAlign w:val="center"/>
          </w:tcPr>
          <w:p w14:paraId="751BC57B" w14:textId="63ADD11B" w:rsidR="00D4309D" w:rsidRPr="002E2553" w:rsidRDefault="009B1E5B" w:rsidP="00D4309D">
            <w:pPr>
              <w:tabs>
                <w:tab w:val="center" w:leader="dot" w:pos="9816"/>
              </w:tabs>
              <w:rPr>
                <w:rFonts w:eastAsia="Calibri"/>
                <w:color w:val="000000"/>
                <w:sz w:val="18"/>
                <w:szCs w:val="18"/>
                <w:lang w:val="en-GB"/>
              </w:rPr>
            </w:pPr>
            <w:r>
              <w:rPr>
                <w:rFonts w:eastAsia="Calibri"/>
                <w:color w:val="000000"/>
                <w:sz w:val="18"/>
                <w:szCs w:val="18"/>
                <w:lang w:val="en-GB"/>
              </w:rPr>
              <w:t xml:space="preserve">Nom du </w:t>
            </w:r>
            <w:proofErr w:type="spellStart"/>
            <w:r>
              <w:rPr>
                <w:rFonts w:eastAsia="Calibri"/>
                <w:color w:val="000000"/>
                <w:sz w:val="18"/>
                <w:szCs w:val="18"/>
                <w:lang w:val="en-GB"/>
              </w:rPr>
              <w:t>responsable</w:t>
            </w:r>
            <w:proofErr w:type="spellEnd"/>
            <w:r>
              <w:rPr>
                <w:rFonts w:eastAsia="Calibri"/>
                <w:color w:val="000000"/>
                <w:sz w:val="18"/>
                <w:szCs w:val="18"/>
                <w:lang w:val="en-GB"/>
              </w:rPr>
              <w:t xml:space="preserve"> </w:t>
            </w:r>
            <w:r w:rsidR="00D4309D" w:rsidRPr="002E2553">
              <w:rPr>
                <w:rFonts w:eastAsia="Calibri"/>
                <w:color w:val="000000"/>
                <w:sz w:val="18"/>
                <w:szCs w:val="18"/>
                <w:lang w:val="en-GB"/>
              </w:rPr>
              <w:t xml:space="preserve">: </w:t>
            </w:r>
            <w:r w:rsidR="00D4309D" w:rsidRPr="002E2553">
              <w:rPr>
                <w:rFonts w:eastAsia="Calibri"/>
                <w:color w:val="000000"/>
                <w:sz w:val="18"/>
                <w:szCs w:val="18"/>
                <w:lang w:val="en-GB"/>
              </w:rPr>
              <w:tab/>
            </w:r>
          </w:p>
        </w:tc>
      </w:tr>
      <w:tr w:rsidR="00D4309D" w:rsidRPr="002E2553" w14:paraId="14EB05F2" w14:textId="77777777" w:rsidTr="00D4309D">
        <w:trPr>
          <w:trHeight w:val="567"/>
        </w:trPr>
        <w:tc>
          <w:tcPr>
            <w:tcW w:w="10094" w:type="dxa"/>
            <w:gridSpan w:val="2"/>
            <w:shd w:val="clear" w:color="auto" w:fill="auto"/>
            <w:vAlign w:val="center"/>
          </w:tcPr>
          <w:p w14:paraId="0A91C2CE" w14:textId="501B1E94" w:rsidR="00D4309D" w:rsidRPr="002E2553" w:rsidRDefault="009B1E5B" w:rsidP="00D4309D">
            <w:pPr>
              <w:tabs>
                <w:tab w:val="center" w:leader="dot" w:pos="9816"/>
              </w:tabs>
              <w:rPr>
                <w:rFonts w:eastAsia="Calibri"/>
                <w:color w:val="000000"/>
                <w:sz w:val="18"/>
                <w:szCs w:val="18"/>
                <w:lang w:val="en-GB"/>
              </w:rPr>
            </w:pPr>
            <w:proofErr w:type="spellStart"/>
            <w:r>
              <w:rPr>
                <w:rFonts w:eastAsia="Calibri"/>
                <w:color w:val="000000"/>
                <w:sz w:val="18"/>
                <w:szCs w:val="18"/>
                <w:lang w:val="en-GB"/>
              </w:rPr>
              <w:t>Ad</w:t>
            </w:r>
            <w:r w:rsidR="00D4309D" w:rsidRPr="002E2553">
              <w:rPr>
                <w:rFonts w:eastAsia="Calibri"/>
                <w:color w:val="000000"/>
                <w:sz w:val="18"/>
                <w:szCs w:val="18"/>
                <w:lang w:val="en-GB"/>
              </w:rPr>
              <w:t>ress</w:t>
            </w:r>
            <w:r>
              <w:rPr>
                <w:rFonts w:eastAsia="Calibri"/>
                <w:color w:val="000000"/>
                <w:sz w:val="18"/>
                <w:szCs w:val="18"/>
                <w:lang w:val="en-GB"/>
              </w:rPr>
              <w:t>e</w:t>
            </w:r>
            <w:proofErr w:type="spellEnd"/>
            <w:r>
              <w:rPr>
                <w:rFonts w:eastAsia="Calibri"/>
                <w:color w:val="000000"/>
                <w:sz w:val="18"/>
                <w:szCs w:val="18"/>
                <w:lang w:val="en-GB"/>
              </w:rPr>
              <w:t xml:space="preserve"> </w:t>
            </w:r>
            <w:r w:rsidR="00D4309D" w:rsidRPr="002E2553">
              <w:rPr>
                <w:rFonts w:eastAsia="Calibri"/>
                <w:color w:val="000000"/>
                <w:sz w:val="18"/>
                <w:szCs w:val="18"/>
                <w:lang w:val="en-GB"/>
              </w:rPr>
              <w:t xml:space="preserve">: </w:t>
            </w:r>
            <w:r w:rsidR="00D4309D" w:rsidRPr="002E2553">
              <w:rPr>
                <w:rFonts w:eastAsia="Calibri"/>
                <w:color w:val="000000"/>
                <w:sz w:val="18"/>
                <w:szCs w:val="18"/>
                <w:lang w:val="en-GB"/>
              </w:rPr>
              <w:tab/>
            </w:r>
          </w:p>
        </w:tc>
      </w:tr>
      <w:tr w:rsidR="00D4309D" w:rsidRPr="002E2553" w14:paraId="6CC71EFA" w14:textId="77777777" w:rsidTr="00D4309D">
        <w:trPr>
          <w:trHeight w:val="567"/>
        </w:trPr>
        <w:tc>
          <w:tcPr>
            <w:tcW w:w="10094" w:type="dxa"/>
            <w:gridSpan w:val="2"/>
            <w:shd w:val="clear" w:color="auto" w:fill="auto"/>
            <w:vAlign w:val="center"/>
          </w:tcPr>
          <w:p w14:paraId="174FD5BB" w14:textId="74BA379A" w:rsidR="00D4309D" w:rsidRPr="002E2553" w:rsidRDefault="009B1E5B" w:rsidP="00D4309D">
            <w:pPr>
              <w:tabs>
                <w:tab w:val="center" w:leader="dot" w:pos="9816"/>
              </w:tabs>
              <w:rPr>
                <w:rFonts w:eastAsia="Calibri"/>
                <w:color w:val="000000"/>
                <w:sz w:val="18"/>
                <w:szCs w:val="18"/>
                <w:lang w:val="en-GB"/>
              </w:rPr>
            </w:pPr>
            <w:r>
              <w:rPr>
                <w:rFonts w:eastAsia="Calibri"/>
                <w:color w:val="000000"/>
                <w:sz w:val="18"/>
                <w:szCs w:val="18"/>
                <w:lang w:val="en-GB"/>
              </w:rPr>
              <w:t xml:space="preserve">Code postal + lieu </w:t>
            </w:r>
            <w:r w:rsidR="00D4309D" w:rsidRPr="002E2553">
              <w:rPr>
                <w:rFonts w:eastAsia="Calibri"/>
                <w:color w:val="000000"/>
                <w:sz w:val="18"/>
                <w:szCs w:val="18"/>
                <w:lang w:val="en-GB"/>
              </w:rPr>
              <w:t xml:space="preserve">: </w:t>
            </w:r>
            <w:r w:rsidR="00D4309D" w:rsidRPr="002E2553">
              <w:rPr>
                <w:rFonts w:eastAsia="Calibri"/>
                <w:color w:val="000000"/>
                <w:sz w:val="18"/>
                <w:szCs w:val="18"/>
                <w:lang w:val="en-GB"/>
              </w:rPr>
              <w:tab/>
            </w:r>
          </w:p>
        </w:tc>
      </w:tr>
      <w:tr w:rsidR="00D4309D" w:rsidRPr="002E2553" w14:paraId="7C6FC3E3" w14:textId="77777777" w:rsidTr="00D4309D">
        <w:trPr>
          <w:trHeight w:val="567"/>
        </w:trPr>
        <w:tc>
          <w:tcPr>
            <w:tcW w:w="4928" w:type="dxa"/>
            <w:shd w:val="clear" w:color="auto" w:fill="auto"/>
            <w:vAlign w:val="center"/>
          </w:tcPr>
          <w:p w14:paraId="2DFC57EE" w14:textId="658961F9" w:rsidR="00D4309D" w:rsidRPr="002E2553" w:rsidRDefault="009B1E5B" w:rsidP="00D4309D">
            <w:pPr>
              <w:tabs>
                <w:tab w:val="right" w:leader="dot" w:pos="4571"/>
              </w:tabs>
              <w:rPr>
                <w:rFonts w:eastAsia="Calibri"/>
                <w:color w:val="000000"/>
                <w:sz w:val="18"/>
                <w:szCs w:val="18"/>
                <w:lang w:val="en-GB"/>
              </w:rPr>
            </w:pPr>
            <w:proofErr w:type="spellStart"/>
            <w:r>
              <w:rPr>
                <w:rFonts w:eastAsia="Calibri"/>
                <w:color w:val="000000"/>
                <w:sz w:val="18"/>
                <w:szCs w:val="18"/>
                <w:lang w:val="en-GB"/>
              </w:rPr>
              <w:t>Té</w:t>
            </w:r>
            <w:r w:rsidR="00D4309D" w:rsidRPr="002E2553">
              <w:rPr>
                <w:rFonts w:eastAsia="Calibri"/>
                <w:color w:val="000000"/>
                <w:sz w:val="18"/>
                <w:szCs w:val="18"/>
                <w:lang w:val="en-GB"/>
              </w:rPr>
              <w:t>l</w:t>
            </w:r>
            <w:proofErr w:type="spellEnd"/>
            <w:r w:rsidR="00D4309D" w:rsidRPr="002E2553">
              <w:rPr>
                <w:rFonts w:eastAsia="Calibri"/>
                <w:color w:val="000000"/>
                <w:sz w:val="18"/>
                <w:szCs w:val="18"/>
                <w:lang w:val="en-GB"/>
              </w:rPr>
              <w:t>.</w:t>
            </w:r>
            <w:r>
              <w:rPr>
                <w:rFonts w:eastAsia="Calibri"/>
                <w:color w:val="000000"/>
                <w:sz w:val="18"/>
                <w:szCs w:val="18"/>
                <w:lang w:val="en-GB"/>
              </w:rPr>
              <w:t xml:space="preserve"> </w:t>
            </w:r>
            <w:r w:rsidR="00D4309D" w:rsidRPr="002E2553">
              <w:rPr>
                <w:rFonts w:eastAsia="Calibri"/>
                <w:color w:val="000000"/>
                <w:sz w:val="18"/>
                <w:szCs w:val="18"/>
                <w:lang w:val="en-GB"/>
              </w:rPr>
              <w:t xml:space="preserve">: </w:t>
            </w:r>
            <w:r w:rsidR="00D4309D" w:rsidRPr="002E2553">
              <w:rPr>
                <w:rFonts w:eastAsia="Calibri"/>
                <w:color w:val="000000"/>
                <w:sz w:val="18"/>
                <w:szCs w:val="18"/>
                <w:lang w:val="en-GB"/>
              </w:rPr>
              <w:tab/>
            </w:r>
          </w:p>
        </w:tc>
        <w:tc>
          <w:tcPr>
            <w:tcW w:w="5166" w:type="dxa"/>
            <w:shd w:val="clear" w:color="auto" w:fill="auto"/>
            <w:vAlign w:val="center"/>
          </w:tcPr>
          <w:p w14:paraId="44C609B8" w14:textId="77777777" w:rsidR="00D4309D" w:rsidRPr="002E2553" w:rsidRDefault="00D4309D" w:rsidP="00D4309D">
            <w:pPr>
              <w:tabs>
                <w:tab w:val="center" w:leader="dot" w:pos="4888"/>
              </w:tabs>
              <w:ind w:right="-108"/>
              <w:rPr>
                <w:rFonts w:eastAsia="Calibri"/>
                <w:color w:val="000000"/>
                <w:sz w:val="18"/>
                <w:szCs w:val="18"/>
                <w:lang w:val="en-GB"/>
              </w:rPr>
            </w:pPr>
          </w:p>
        </w:tc>
      </w:tr>
      <w:tr w:rsidR="00D4309D" w:rsidRPr="002E2553" w14:paraId="291CC5C9" w14:textId="77777777" w:rsidTr="00D4309D">
        <w:trPr>
          <w:trHeight w:val="567"/>
        </w:trPr>
        <w:tc>
          <w:tcPr>
            <w:tcW w:w="10094" w:type="dxa"/>
            <w:gridSpan w:val="2"/>
            <w:shd w:val="clear" w:color="auto" w:fill="auto"/>
            <w:vAlign w:val="center"/>
          </w:tcPr>
          <w:p w14:paraId="66BAD8D1" w14:textId="628088DD" w:rsidR="00D4309D" w:rsidRPr="002E2553" w:rsidRDefault="00D4309D" w:rsidP="00D4309D">
            <w:pPr>
              <w:tabs>
                <w:tab w:val="center" w:leader="dot" w:pos="9816"/>
              </w:tabs>
              <w:ind w:right="-108"/>
              <w:rPr>
                <w:rFonts w:eastAsia="Calibri"/>
                <w:color w:val="000000"/>
                <w:sz w:val="18"/>
                <w:szCs w:val="18"/>
                <w:lang w:val="en-GB"/>
              </w:rPr>
            </w:pPr>
            <w:r w:rsidRPr="002E2553">
              <w:rPr>
                <w:rFonts w:eastAsia="Calibri"/>
                <w:color w:val="000000"/>
                <w:sz w:val="18"/>
                <w:szCs w:val="18"/>
                <w:lang w:val="en-GB"/>
              </w:rPr>
              <w:t>E-mail</w:t>
            </w:r>
            <w:r w:rsidRPr="002E2553">
              <w:rPr>
                <w:rFonts w:eastAsia="Calibri"/>
                <w:color w:val="000000"/>
                <w:sz w:val="18"/>
                <w:szCs w:val="18"/>
                <w:vertAlign w:val="superscript"/>
                <w:lang w:val="en-GB"/>
              </w:rPr>
              <w:t>1</w:t>
            </w:r>
            <w:r w:rsidR="009B1E5B">
              <w:rPr>
                <w:rFonts w:eastAsia="Calibri"/>
                <w:color w:val="000000"/>
                <w:sz w:val="18"/>
                <w:szCs w:val="18"/>
                <w:vertAlign w:val="superscript"/>
                <w:lang w:val="en-GB"/>
              </w:rPr>
              <w:t xml:space="preserve"> </w:t>
            </w:r>
            <w:r w:rsidRPr="002E2553">
              <w:rPr>
                <w:rFonts w:eastAsia="Calibri"/>
                <w:color w:val="000000"/>
                <w:sz w:val="18"/>
                <w:szCs w:val="18"/>
                <w:lang w:val="en-GB"/>
              </w:rPr>
              <w:t xml:space="preserve">: </w:t>
            </w:r>
            <w:r w:rsidRPr="002E2553">
              <w:rPr>
                <w:rFonts w:eastAsia="Calibri"/>
                <w:color w:val="000000"/>
                <w:sz w:val="18"/>
                <w:szCs w:val="18"/>
                <w:lang w:val="en-GB"/>
              </w:rPr>
              <w:tab/>
            </w:r>
          </w:p>
        </w:tc>
      </w:tr>
      <w:tr w:rsidR="00D4309D" w:rsidRPr="002E2553" w14:paraId="5654A020" w14:textId="77777777" w:rsidTr="00D4309D">
        <w:trPr>
          <w:trHeight w:val="454"/>
        </w:trPr>
        <w:tc>
          <w:tcPr>
            <w:tcW w:w="10094" w:type="dxa"/>
            <w:gridSpan w:val="2"/>
            <w:shd w:val="clear" w:color="auto" w:fill="auto"/>
            <w:vAlign w:val="center"/>
          </w:tcPr>
          <w:p w14:paraId="4FDC6D29" w14:textId="7DB3FCED" w:rsidR="00D4309D" w:rsidRPr="00580B40" w:rsidRDefault="009B1E5B" w:rsidP="00D4309D">
            <w:pPr>
              <w:tabs>
                <w:tab w:val="center" w:leader="dot" w:pos="9816"/>
              </w:tabs>
              <w:ind w:right="-108"/>
              <w:rPr>
                <w:rFonts w:eastAsia="Calibri"/>
                <w:color w:val="000000"/>
                <w:sz w:val="18"/>
                <w:szCs w:val="18"/>
              </w:rPr>
            </w:pPr>
            <w:r w:rsidRPr="00580B40">
              <w:rPr>
                <w:rFonts w:eastAsia="Calibri"/>
                <w:color w:val="000000"/>
                <w:sz w:val="18"/>
                <w:szCs w:val="18"/>
              </w:rPr>
              <w:t xml:space="preserve">Programme </w:t>
            </w:r>
            <w:proofErr w:type="spellStart"/>
            <w:r w:rsidRPr="00580B40">
              <w:rPr>
                <w:rFonts w:eastAsia="Calibri"/>
                <w:color w:val="000000"/>
                <w:sz w:val="18"/>
                <w:szCs w:val="18"/>
              </w:rPr>
              <w:t>Shield</w:t>
            </w:r>
            <w:proofErr w:type="spellEnd"/>
            <w:r w:rsidRPr="00580B40">
              <w:rPr>
                <w:rFonts w:eastAsia="Calibri"/>
                <w:color w:val="000000"/>
                <w:sz w:val="18"/>
                <w:szCs w:val="18"/>
              </w:rPr>
              <w:t xml:space="preserve"> pour lequel je postule </w:t>
            </w:r>
            <w:r w:rsidR="00D4309D" w:rsidRPr="00580B40">
              <w:rPr>
                <w:rFonts w:eastAsia="Calibri"/>
                <w:color w:val="000000"/>
                <w:sz w:val="18"/>
                <w:szCs w:val="18"/>
              </w:rPr>
              <w:t>:</w:t>
            </w:r>
          </w:p>
        </w:tc>
      </w:tr>
      <w:tr w:rsidR="00D4309D" w:rsidRPr="002E2553" w14:paraId="3257CF3D" w14:textId="77777777" w:rsidTr="00D4309D">
        <w:trPr>
          <w:trHeight w:val="80"/>
        </w:trPr>
        <w:tc>
          <w:tcPr>
            <w:tcW w:w="10094" w:type="dxa"/>
            <w:gridSpan w:val="2"/>
            <w:shd w:val="clear" w:color="auto" w:fill="auto"/>
            <w:vAlign w:val="center"/>
          </w:tcPr>
          <w:p w14:paraId="078FCA7D" w14:textId="77777777" w:rsidR="00D4309D" w:rsidRPr="00580B40" w:rsidRDefault="00D4309D" w:rsidP="00D4309D">
            <w:pPr>
              <w:tabs>
                <w:tab w:val="center" w:leader="dot" w:pos="9816"/>
              </w:tabs>
              <w:spacing w:before="120"/>
              <w:ind w:right="-108"/>
              <w:rPr>
                <w:rFonts w:eastAsia="Calibri"/>
                <w:color w:val="000000"/>
                <w:sz w:val="18"/>
                <w:szCs w:val="18"/>
              </w:rPr>
            </w:pPr>
          </w:p>
        </w:tc>
      </w:tr>
      <w:tr w:rsidR="00D4309D" w:rsidRPr="002E2553" w14:paraId="739FC3A5" w14:textId="77777777" w:rsidTr="00D4309D">
        <w:trPr>
          <w:trHeight w:val="567"/>
        </w:trPr>
        <w:tc>
          <w:tcPr>
            <w:tcW w:w="10094" w:type="dxa"/>
            <w:gridSpan w:val="2"/>
            <w:shd w:val="clear" w:color="auto" w:fill="auto"/>
            <w:vAlign w:val="center"/>
          </w:tcPr>
          <w:p w14:paraId="6DB628FB" w14:textId="35E7B04C" w:rsidR="00D4309D" w:rsidRPr="00580B40" w:rsidRDefault="00D4309D" w:rsidP="00D4309D">
            <w:pPr>
              <w:tabs>
                <w:tab w:val="center" w:leader="dot" w:pos="9816"/>
              </w:tabs>
              <w:spacing w:before="60"/>
              <w:ind w:right="-108"/>
              <w:rPr>
                <w:rFonts w:eastAsia="Calibri"/>
                <w:color w:val="000000"/>
                <w:sz w:val="18"/>
                <w:szCs w:val="18"/>
              </w:rPr>
            </w:pPr>
            <w:r>
              <w:rPr>
                <w:rFonts w:eastAsia="Calibri"/>
                <w:noProof/>
                <w:color w:val="000000"/>
                <w:sz w:val="18"/>
                <w:szCs w:val="18"/>
              </w:rPr>
              <mc:AlternateContent>
                <mc:Choice Requires="wps">
                  <w:drawing>
                    <wp:anchor distT="0" distB="0" distL="114300" distR="114300" simplePos="0" relativeHeight="251659264" behindDoc="0" locked="0" layoutInCell="1" allowOverlap="1" wp14:anchorId="75165578" wp14:editId="74D9D00E">
                      <wp:simplePos x="0" y="0"/>
                      <wp:positionH relativeFrom="column">
                        <wp:posOffset>153035</wp:posOffset>
                      </wp:positionH>
                      <wp:positionV relativeFrom="paragraph">
                        <wp:posOffset>31115</wp:posOffset>
                      </wp:positionV>
                      <wp:extent cx="83185" cy="107315"/>
                      <wp:effectExtent l="0" t="0" r="0" b="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A43E" id="Rectangle 54" o:spid="_x0000_s1026" style="position:absolute;margin-left:12.05pt;margin-top:2.45pt;width:6.5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bEHw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"/>
                  </w:pict>
                </mc:Fallback>
              </mc:AlternateContent>
            </w:r>
            <w:r w:rsidRPr="00580B40">
              <w:rPr>
                <w:rFonts w:eastAsia="Calibri"/>
                <w:color w:val="000000"/>
                <w:sz w:val="18"/>
                <w:szCs w:val="18"/>
              </w:rPr>
              <w:t>…………</w:t>
            </w:r>
            <w:r w:rsidR="009B1E5B" w:rsidRPr="00580B40">
              <w:rPr>
                <w:rFonts w:eastAsia="Calibri"/>
                <w:color w:val="000000"/>
                <w:sz w:val="18"/>
                <w:szCs w:val="18"/>
              </w:rPr>
              <w:t xml:space="preserve">Le programme </w:t>
            </w:r>
            <w:proofErr w:type="spellStart"/>
            <w:r w:rsidR="009B1E5B" w:rsidRPr="00580B40">
              <w:rPr>
                <w:rFonts w:eastAsia="Calibri"/>
                <w:color w:val="000000"/>
                <w:sz w:val="18"/>
                <w:szCs w:val="18"/>
              </w:rPr>
              <w:t>Shield</w:t>
            </w:r>
            <w:proofErr w:type="spellEnd"/>
            <w:r w:rsidR="009B1E5B" w:rsidRPr="00580B40">
              <w:rPr>
                <w:rFonts w:eastAsia="Calibri"/>
                <w:color w:val="000000"/>
                <w:sz w:val="18"/>
                <w:szCs w:val="18"/>
              </w:rPr>
              <w:t xml:space="preserve"> Sécurité Alimentaire</w:t>
            </w:r>
          </w:p>
          <w:p w14:paraId="004F0C84" w14:textId="2ABDE6B9" w:rsidR="00D4309D" w:rsidRPr="00580B40" w:rsidRDefault="00D4309D" w:rsidP="009B1E5B">
            <w:pPr>
              <w:tabs>
                <w:tab w:val="center" w:leader="dot" w:pos="9816"/>
              </w:tabs>
              <w:spacing w:before="60"/>
              <w:ind w:right="-108"/>
              <w:rPr>
                <w:rFonts w:eastAsia="Calibri"/>
                <w:color w:val="000000"/>
                <w:sz w:val="18"/>
                <w:szCs w:val="18"/>
              </w:rPr>
            </w:pPr>
            <w:r>
              <w:rPr>
                <w:rFonts w:eastAsia="Calibri"/>
                <w:noProof/>
                <w:color w:val="000000"/>
                <w:sz w:val="18"/>
                <w:szCs w:val="18"/>
              </w:rPr>
              <mc:AlternateContent>
                <mc:Choice Requires="wps">
                  <w:drawing>
                    <wp:anchor distT="0" distB="0" distL="114300" distR="114300" simplePos="0" relativeHeight="251660288" behindDoc="0" locked="0" layoutInCell="1" allowOverlap="1" wp14:anchorId="630FA5D7" wp14:editId="6A5A1394">
                      <wp:simplePos x="0" y="0"/>
                      <wp:positionH relativeFrom="column">
                        <wp:posOffset>153035</wp:posOffset>
                      </wp:positionH>
                      <wp:positionV relativeFrom="paragraph">
                        <wp:posOffset>27940</wp:posOffset>
                      </wp:positionV>
                      <wp:extent cx="83185" cy="107315"/>
                      <wp:effectExtent l="0" t="0" r="0" b="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8C63" id="Rectangle 55" o:spid="_x0000_s1026" style="position:absolute;margin-left:12.05pt;margin-top:2.2pt;width:6.5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sBIAIAADsEAAAOAAAAZHJzL2Uyb0RvYy54bWysU9uO0zAQfUfiHyy/0yRtw3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"/>
                  </w:pict>
                </mc:Fallback>
              </mc:AlternateContent>
            </w:r>
            <w:r w:rsidRPr="00580B40">
              <w:rPr>
                <w:rFonts w:eastAsia="Calibri"/>
                <w:color w:val="000000"/>
                <w:sz w:val="18"/>
                <w:szCs w:val="18"/>
              </w:rPr>
              <w:t xml:space="preserve">            </w:t>
            </w:r>
            <w:r w:rsidR="009B1E5B" w:rsidRPr="00580B40">
              <w:rPr>
                <w:rFonts w:eastAsia="Calibri"/>
                <w:color w:val="000000"/>
                <w:sz w:val="18"/>
                <w:szCs w:val="18"/>
              </w:rPr>
              <w:t xml:space="preserve">Le programme </w:t>
            </w:r>
            <w:proofErr w:type="spellStart"/>
            <w:r w:rsidR="009B1E5B" w:rsidRPr="00580B40">
              <w:rPr>
                <w:rFonts w:eastAsia="Calibri"/>
                <w:color w:val="000000"/>
                <w:sz w:val="18"/>
                <w:szCs w:val="18"/>
              </w:rPr>
              <w:t>Shield</w:t>
            </w:r>
            <w:proofErr w:type="spellEnd"/>
            <w:r w:rsidR="009B1E5B" w:rsidRPr="00580B40">
              <w:rPr>
                <w:rFonts w:eastAsia="Calibri"/>
                <w:color w:val="000000"/>
                <w:sz w:val="18"/>
                <w:szCs w:val="18"/>
              </w:rPr>
              <w:t xml:space="preserve"> COVID</w:t>
            </w:r>
            <w:r w:rsidRPr="00580B40">
              <w:rPr>
                <w:rFonts w:eastAsia="Calibri"/>
                <w:color w:val="000000"/>
                <w:sz w:val="18"/>
                <w:szCs w:val="18"/>
              </w:rPr>
              <w:t xml:space="preserve">-19 </w:t>
            </w:r>
          </w:p>
        </w:tc>
      </w:tr>
      <w:tr w:rsidR="00D4309D" w:rsidRPr="002E2553" w14:paraId="48D5C37E" w14:textId="77777777" w:rsidTr="00D4309D">
        <w:trPr>
          <w:trHeight w:val="567"/>
        </w:trPr>
        <w:tc>
          <w:tcPr>
            <w:tcW w:w="10094" w:type="dxa"/>
            <w:gridSpan w:val="2"/>
            <w:shd w:val="clear" w:color="auto" w:fill="auto"/>
            <w:vAlign w:val="center"/>
          </w:tcPr>
          <w:p w14:paraId="53218AC7" w14:textId="77777777" w:rsidR="00D4309D" w:rsidRPr="00580B40" w:rsidRDefault="00D4309D" w:rsidP="00D4309D">
            <w:pPr>
              <w:tabs>
                <w:tab w:val="center" w:leader="dot" w:pos="9816"/>
              </w:tabs>
              <w:ind w:right="-108"/>
              <w:rPr>
                <w:rFonts w:eastAsia="Calibri"/>
                <w:color w:val="000000"/>
                <w:sz w:val="18"/>
                <w:szCs w:val="18"/>
              </w:rPr>
            </w:pPr>
          </w:p>
        </w:tc>
      </w:tr>
      <w:tr w:rsidR="00D4309D" w:rsidRPr="002E2553" w14:paraId="2931C319" w14:textId="77777777" w:rsidTr="00D4309D">
        <w:trPr>
          <w:trHeight w:val="567"/>
        </w:trPr>
        <w:tc>
          <w:tcPr>
            <w:tcW w:w="10094" w:type="dxa"/>
            <w:gridSpan w:val="2"/>
            <w:shd w:val="clear" w:color="auto" w:fill="auto"/>
            <w:vAlign w:val="center"/>
          </w:tcPr>
          <w:p w14:paraId="4BB99263" w14:textId="1D33B206" w:rsidR="00D4309D" w:rsidRPr="00580B40" w:rsidRDefault="00D4309D" w:rsidP="009B1E5B">
            <w:pPr>
              <w:tabs>
                <w:tab w:val="center" w:leader="dot" w:pos="9816"/>
              </w:tabs>
              <w:spacing w:before="60"/>
              <w:ind w:right="-108"/>
              <w:rPr>
                <w:rFonts w:eastAsia="Calibri"/>
                <w:color w:val="000000"/>
                <w:sz w:val="18"/>
                <w:szCs w:val="18"/>
              </w:rPr>
            </w:pPr>
            <w:r w:rsidRPr="00580B40">
              <w:rPr>
                <w:rFonts w:eastAsia="Calibri"/>
                <w:color w:val="000000"/>
                <w:sz w:val="18"/>
                <w:szCs w:val="18"/>
                <w:vertAlign w:val="superscript"/>
              </w:rPr>
              <w:t>1</w:t>
            </w:r>
            <w:r w:rsidR="009B1E5B" w:rsidRPr="00580B40">
              <w:rPr>
                <w:rFonts w:eastAsia="Calibri"/>
                <w:color w:val="000000"/>
                <w:sz w:val="18"/>
                <w:szCs w:val="18"/>
              </w:rPr>
              <w:t>Toute communication de</w:t>
            </w:r>
            <w:r w:rsidRPr="00580B40">
              <w:rPr>
                <w:rFonts w:eastAsia="Calibri"/>
                <w:color w:val="000000"/>
                <w:sz w:val="18"/>
                <w:szCs w:val="18"/>
              </w:rPr>
              <w:t xml:space="preserve"> DIVERSEY INC </w:t>
            </w:r>
            <w:r w:rsidR="009B1E5B" w:rsidRPr="00580B40">
              <w:rPr>
                <w:rFonts w:eastAsia="Calibri"/>
                <w:color w:val="000000"/>
                <w:sz w:val="18"/>
                <w:szCs w:val="18"/>
              </w:rPr>
              <w:t>sera envoyée à l’adresse e-mail mentionnée ci-dessus</w:t>
            </w:r>
            <w:r w:rsidRPr="00580B40">
              <w:rPr>
                <w:rFonts w:eastAsia="Calibri"/>
                <w:color w:val="000000"/>
                <w:sz w:val="18"/>
                <w:szCs w:val="18"/>
              </w:rPr>
              <w:t xml:space="preserve">. </w:t>
            </w:r>
          </w:p>
        </w:tc>
      </w:tr>
    </w:tbl>
    <w:p w14:paraId="3E028B9B" w14:textId="77777777" w:rsidR="00D4309D" w:rsidRPr="005A5059" w:rsidRDefault="00D4309D" w:rsidP="005A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Cs/>
          <w:sz w:val="28"/>
          <w:szCs w:val="28"/>
        </w:rPr>
      </w:pPr>
    </w:p>
    <w:p w14:paraId="0454F693" w14:textId="1A97EF94" w:rsidR="00DD33FE" w:rsidRDefault="00DD33FE" w:rsidP="00DD33FE">
      <w:pPr>
        <w:tabs>
          <w:tab w:val="left" w:pos="3544"/>
        </w:tabs>
        <w:ind w:left="-426" w:right="-567"/>
        <w:rPr>
          <w:rFonts w:cs="Arial"/>
          <w:color w:val="000000"/>
          <w:sz w:val="18"/>
          <w:szCs w:val="18"/>
        </w:rPr>
      </w:pPr>
      <w:r w:rsidRPr="00DD33FE">
        <w:rPr>
          <w:rFonts w:cs="Arial"/>
          <w:color w:val="000000"/>
          <w:sz w:val="18"/>
          <w:szCs w:val="18"/>
        </w:rPr>
        <w:t xml:space="preserve">Par la présente, le soussigné confirme avoir lu et accepté les termes et conditions du programme </w:t>
      </w:r>
      <w:proofErr w:type="spellStart"/>
      <w:r w:rsidRPr="00DD33FE">
        <w:rPr>
          <w:rFonts w:cs="Arial"/>
          <w:color w:val="000000"/>
          <w:sz w:val="18"/>
          <w:szCs w:val="18"/>
        </w:rPr>
        <w:t>Shield</w:t>
      </w:r>
      <w:proofErr w:type="spellEnd"/>
      <w:r w:rsidRPr="00DD33FE">
        <w:rPr>
          <w:rFonts w:cs="Arial"/>
          <w:color w:val="000000"/>
          <w:sz w:val="18"/>
          <w:szCs w:val="18"/>
        </w:rPr>
        <w:t xml:space="preserve">. </w:t>
      </w:r>
      <w:proofErr w:type="spellStart"/>
      <w:r w:rsidRPr="00DD33FE">
        <w:rPr>
          <w:rFonts w:cs="Arial"/>
          <w:color w:val="000000"/>
          <w:sz w:val="18"/>
          <w:szCs w:val="18"/>
        </w:rPr>
        <w:t>Diversey</w:t>
      </w:r>
      <w:proofErr w:type="spellEnd"/>
      <w:r w:rsidRPr="00DD33FE">
        <w:rPr>
          <w:rFonts w:cs="Arial"/>
          <w:color w:val="000000"/>
          <w:sz w:val="18"/>
          <w:szCs w:val="18"/>
        </w:rPr>
        <w:t xml:space="preserve"> se réserve le droit de modifier les conditions générales du </w:t>
      </w:r>
      <w:r w:rsidR="00A5052D">
        <w:rPr>
          <w:rFonts w:cs="Arial"/>
          <w:color w:val="000000"/>
          <w:sz w:val="18"/>
          <w:szCs w:val="18"/>
        </w:rPr>
        <w:t xml:space="preserve">programme </w:t>
      </w:r>
      <w:proofErr w:type="spellStart"/>
      <w:r w:rsidRPr="00DD33FE">
        <w:rPr>
          <w:rFonts w:cs="Arial"/>
          <w:color w:val="000000"/>
          <w:sz w:val="18"/>
          <w:szCs w:val="18"/>
        </w:rPr>
        <w:t>Shield</w:t>
      </w:r>
      <w:proofErr w:type="spellEnd"/>
      <w:r w:rsidR="00A5052D">
        <w:rPr>
          <w:rFonts w:cs="Arial"/>
          <w:color w:val="000000"/>
          <w:sz w:val="18"/>
          <w:szCs w:val="18"/>
        </w:rPr>
        <w:t>,</w:t>
      </w:r>
      <w:r w:rsidRPr="00DD33FE">
        <w:rPr>
          <w:rFonts w:cs="Arial"/>
          <w:color w:val="000000"/>
          <w:sz w:val="18"/>
          <w:szCs w:val="18"/>
        </w:rPr>
        <w:t xml:space="preserve"> </w:t>
      </w:r>
      <w:r w:rsidR="00C3394C">
        <w:rPr>
          <w:rFonts w:cs="Arial"/>
          <w:color w:val="000000"/>
          <w:sz w:val="18"/>
          <w:szCs w:val="18"/>
        </w:rPr>
        <w:t>en tout temps</w:t>
      </w:r>
      <w:r w:rsidRPr="00DD33FE">
        <w:rPr>
          <w:rFonts w:cs="Arial"/>
          <w:color w:val="000000"/>
          <w:sz w:val="18"/>
          <w:szCs w:val="18"/>
        </w:rPr>
        <w:t xml:space="preserve"> à sa seule discrétion. </w:t>
      </w:r>
    </w:p>
    <w:p w14:paraId="476AF08B" w14:textId="77777777" w:rsidR="00DD33FE" w:rsidRDefault="00DD33FE" w:rsidP="00DD33FE">
      <w:pPr>
        <w:tabs>
          <w:tab w:val="left" w:pos="3544"/>
        </w:tabs>
        <w:ind w:left="-426" w:right="-567"/>
        <w:rPr>
          <w:rFonts w:cs="Arial"/>
          <w:color w:val="000000"/>
          <w:sz w:val="18"/>
          <w:szCs w:val="18"/>
        </w:rPr>
      </w:pPr>
    </w:p>
    <w:p w14:paraId="4E9629EC" w14:textId="4A84101C" w:rsidR="00DD33FE" w:rsidRDefault="00DD33FE" w:rsidP="00DD33FE">
      <w:pPr>
        <w:tabs>
          <w:tab w:val="left" w:pos="3544"/>
        </w:tabs>
        <w:ind w:left="-426" w:right="-567"/>
        <w:rPr>
          <w:rFonts w:cs="Arial"/>
          <w:color w:val="000000"/>
          <w:sz w:val="18"/>
          <w:szCs w:val="18"/>
        </w:rPr>
      </w:pPr>
      <w:r w:rsidRPr="00DD33FE">
        <w:rPr>
          <w:rFonts w:cs="Arial"/>
          <w:color w:val="000000"/>
          <w:sz w:val="18"/>
          <w:szCs w:val="18"/>
        </w:rPr>
        <w:t xml:space="preserve">Les détails obtenus seront traités dans la plus stricte confidentialité. </w:t>
      </w:r>
    </w:p>
    <w:p w14:paraId="4ADC667F" w14:textId="77777777" w:rsidR="00DD33FE" w:rsidRDefault="00DD33FE" w:rsidP="00DD33FE">
      <w:pPr>
        <w:tabs>
          <w:tab w:val="left" w:pos="3544"/>
        </w:tabs>
        <w:ind w:left="-426" w:right="-567"/>
        <w:rPr>
          <w:rFonts w:cs="Arial"/>
          <w:color w:val="000000"/>
          <w:sz w:val="18"/>
          <w:szCs w:val="18"/>
        </w:rPr>
      </w:pPr>
    </w:p>
    <w:p w14:paraId="0F81DD2F" w14:textId="71D31BBF" w:rsidR="00DD33FE" w:rsidRPr="00DD33FE" w:rsidRDefault="00DD33FE" w:rsidP="00DD33FE">
      <w:pPr>
        <w:tabs>
          <w:tab w:val="left" w:pos="3544"/>
        </w:tabs>
        <w:ind w:left="-426" w:right="-567"/>
        <w:rPr>
          <w:rFonts w:cs="Arial"/>
          <w:color w:val="000000"/>
          <w:sz w:val="18"/>
          <w:szCs w:val="18"/>
        </w:rPr>
      </w:pPr>
      <w:r w:rsidRPr="00DD33FE">
        <w:rPr>
          <w:rFonts w:cs="Arial"/>
          <w:color w:val="000000"/>
          <w:sz w:val="18"/>
          <w:szCs w:val="18"/>
        </w:rPr>
        <w:t>Pour accord</w:t>
      </w:r>
    </w:p>
    <w:p w14:paraId="0B939B04" w14:textId="77777777" w:rsidR="009B1E5B" w:rsidRPr="00FB7AE6" w:rsidRDefault="009B1E5B" w:rsidP="009B1E5B">
      <w:pPr>
        <w:tabs>
          <w:tab w:val="left" w:pos="3544"/>
        </w:tabs>
        <w:ind w:left="-426" w:right="-567"/>
        <w:rPr>
          <w:rFonts w:cs="Arial"/>
          <w:color w:val="000000"/>
          <w:sz w:val="18"/>
          <w:szCs w:val="18"/>
          <w:lang w:val="en-GB"/>
        </w:rPr>
      </w:pPr>
    </w:p>
    <w:p w14:paraId="38AE9DF4" w14:textId="5F43D74A" w:rsidR="009B1E5B" w:rsidRPr="00580B40" w:rsidRDefault="00DD33FE" w:rsidP="009B1E5B">
      <w:pPr>
        <w:tabs>
          <w:tab w:val="right" w:leader="dot" w:pos="5670"/>
        </w:tabs>
        <w:ind w:left="-426" w:right="-567"/>
        <w:rPr>
          <w:rFonts w:cs="Arial"/>
          <w:color w:val="000000"/>
          <w:sz w:val="18"/>
          <w:szCs w:val="18"/>
        </w:rPr>
      </w:pPr>
      <w:r w:rsidRPr="00580B40">
        <w:rPr>
          <w:rFonts w:cs="Arial"/>
          <w:color w:val="000000"/>
          <w:sz w:val="18"/>
          <w:szCs w:val="18"/>
        </w:rPr>
        <w:t>Nom du</w:t>
      </w:r>
      <w:r w:rsidR="009B1E5B" w:rsidRPr="00580B40">
        <w:rPr>
          <w:rFonts w:cs="Arial"/>
          <w:color w:val="000000"/>
          <w:sz w:val="18"/>
          <w:szCs w:val="18"/>
        </w:rPr>
        <w:t xml:space="preserve"> participant</w:t>
      </w:r>
      <w:r w:rsidRPr="00580B40">
        <w:rPr>
          <w:rFonts w:cs="Arial"/>
          <w:color w:val="000000"/>
          <w:sz w:val="18"/>
          <w:szCs w:val="18"/>
        </w:rPr>
        <w:t xml:space="preserve"> </w:t>
      </w:r>
      <w:r w:rsidR="009B1E5B" w:rsidRPr="00580B40">
        <w:rPr>
          <w:rFonts w:cs="Arial"/>
          <w:color w:val="000000"/>
          <w:sz w:val="18"/>
          <w:szCs w:val="18"/>
        </w:rPr>
        <w:t>:</w:t>
      </w:r>
      <w:r w:rsidR="009B1E5B" w:rsidRPr="00580B40">
        <w:rPr>
          <w:rFonts w:cs="Arial"/>
          <w:color w:val="000000"/>
          <w:sz w:val="18"/>
          <w:szCs w:val="18"/>
        </w:rPr>
        <w:tab/>
      </w:r>
      <w:r w:rsidR="009B1E5B" w:rsidRPr="00580B40">
        <w:rPr>
          <w:rFonts w:cs="Arial"/>
          <w:color w:val="000000"/>
          <w:sz w:val="18"/>
          <w:szCs w:val="18"/>
        </w:rPr>
        <w:tab/>
        <w:t xml:space="preserve"> (</w:t>
      </w:r>
      <w:r w:rsidRPr="00580B40">
        <w:rPr>
          <w:rFonts w:cs="Arial"/>
          <w:color w:val="000000"/>
          <w:sz w:val="18"/>
          <w:szCs w:val="18"/>
        </w:rPr>
        <w:t>obligatoire</w:t>
      </w:r>
      <w:r w:rsidR="009B1E5B" w:rsidRPr="00580B40">
        <w:rPr>
          <w:rFonts w:cs="Arial"/>
          <w:color w:val="000000"/>
          <w:sz w:val="18"/>
          <w:szCs w:val="18"/>
        </w:rPr>
        <w:t>)</w:t>
      </w:r>
    </w:p>
    <w:p w14:paraId="1DEE67A5" w14:textId="4B628AEA" w:rsidR="009B1E5B" w:rsidRPr="00580B40" w:rsidRDefault="009B1E5B" w:rsidP="009B1E5B">
      <w:pPr>
        <w:tabs>
          <w:tab w:val="right" w:leader="dot" w:pos="5670"/>
        </w:tabs>
        <w:ind w:left="-426" w:right="-567"/>
        <w:rPr>
          <w:rFonts w:cs="Arial"/>
          <w:color w:val="000000"/>
          <w:sz w:val="18"/>
          <w:szCs w:val="18"/>
        </w:rPr>
      </w:pPr>
      <w:r w:rsidRPr="00580B40">
        <w:rPr>
          <w:rFonts w:cs="Arial"/>
          <w:color w:val="000000"/>
          <w:sz w:val="18"/>
          <w:szCs w:val="18"/>
        </w:rPr>
        <w:t>(signature)</w:t>
      </w:r>
      <w:proofErr w:type="gramStart"/>
      <w:r w:rsidRPr="00580B40">
        <w:rPr>
          <w:rFonts w:cs="Arial"/>
          <w:color w:val="000000"/>
          <w:sz w:val="18"/>
          <w:szCs w:val="18"/>
        </w:rPr>
        <w:t>:,</w:t>
      </w:r>
      <w:proofErr w:type="gramEnd"/>
      <w:r w:rsidRPr="00580B40">
        <w:rPr>
          <w:rFonts w:cs="Arial"/>
          <w:color w:val="000000"/>
          <w:sz w:val="18"/>
          <w:szCs w:val="18"/>
        </w:rPr>
        <w:t xml:space="preserve"> Date:</w:t>
      </w:r>
      <w:r w:rsidRPr="00580B40">
        <w:rPr>
          <w:rFonts w:cs="Arial"/>
          <w:color w:val="000000"/>
          <w:sz w:val="18"/>
          <w:szCs w:val="18"/>
        </w:rPr>
        <w:tab/>
        <w:t>(</w:t>
      </w:r>
      <w:r w:rsidR="00DD33FE" w:rsidRPr="00580B40">
        <w:rPr>
          <w:rFonts w:cs="Arial"/>
          <w:color w:val="000000"/>
          <w:sz w:val="18"/>
          <w:szCs w:val="18"/>
        </w:rPr>
        <w:t>obligatoire</w:t>
      </w:r>
      <w:r w:rsidRPr="00580B40">
        <w:rPr>
          <w:rFonts w:cs="Arial"/>
          <w:color w:val="000000"/>
          <w:sz w:val="18"/>
          <w:szCs w:val="18"/>
        </w:rPr>
        <w:t>)</w:t>
      </w:r>
    </w:p>
    <w:p w14:paraId="7CB95971" w14:textId="77777777" w:rsidR="00E73703" w:rsidRPr="002E40AC" w:rsidRDefault="00E73703" w:rsidP="00B7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8"/>
          <w:szCs w:val="28"/>
        </w:rPr>
      </w:pPr>
    </w:p>
    <w:sectPr w:rsidR="00E73703" w:rsidRPr="002E40AC" w:rsidSect="00172D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53F7"/>
    <w:multiLevelType w:val="multilevel"/>
    <w:tmpl w:val="C756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046BD"/>
    <w:multiLevelType w:val="hybridMultilevel"/>
    <w:tmpl w:val="5C269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61D3622"/>
    <w:multiLevelType w:val="multilevel"/>
    <w:tmpl w:val="F10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86F02"/>
    <w:multiLevelType w:val="multilevel"/>
    <w:tmpl w:val="E25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32E47"/>
    <w:multiLevelType w:val="hybridMultilevel"/>
    <w:tmpl w:val="9CD66596"/>
    <w:lvl w:ilvl="0" w:tplc="927416F8">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28F48CE"/>
    <w:multiLevelType w:val="hybridMultilevel"/>
    <w:tmpl w:val="07EC6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62"/>
    <w:rsid w:val="000D50B8"/>
    <w:rsid w:val="00130C84"/>
    <w:rsid w:val="00172DEF"/>
    <w:rsid w:val="001D17AD"/>
    <w:rsid w:val="002E40AC"/>
    <w:rsid w:val="00387AC3"/>
    <w:rsid w:val="003B666E"/>
    <w:rsid w:val="00427171"/>
    <w:rsid w:val="0046744A"/>
    <w:rsid w:val="004E3F53"/>
    <w:rsid w:val="00580B40"/>
    <w:rsid w:val="005A5059"/>
    <w:rsid w:val="00676A65"/>
    <w:rsid w:val="00915555"/>
    <w:rsid w:val="00946C62"/>
    <w:rsid w:val="009B1E5B"/>
    <w:rsid w:val="009B6A62"/>
    <w:rsid w:val="00A5052D"/>
    <w:rsid w:val="00A67421"/>
    <w:rsid w:val="00AA161D"/>
    <w:rsid w:val="00AD1594"/>
    <w:rsid w:val="00B774FB"/>
    <w:rsid w:val="00BC4F01"/>
    <w:rsid w:val="00BC5C83"/>
    <w:rsid w:val="00C066D5"/>
    <w:rsid w:val="00C3394C"/>
    <w:rsid w:val="00D4309D"/>
    <w:rsid w:val="00DD33FE"/>
    <w:rsid w:val="00E73703"/>
    <w:rsid w:val="00EC12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66F7D"/>
  <w14:defaultImageDpi w14:val="300"/>
  <w15:docId w15:val="{B631E680-3A86-4E15-A9FB-4E175681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121B"/>
    <w:pPr>
      <w:spacing w:before="480" w:line="276" w:lineRule="auto"/>
      <w:contextualSpacing/>
      <w:outlineLvl w:val="0"/>
    </w:pPr>
    <w:rPr>
      <w:rFonts w:ascii="Cambria" w:eastAsia="Times New Roman" w:hAnsi="Cambria" w:cs="Times New Roman"/>
      <w:b/>
      <w:bCs/>
      <w:sz w:val="28"/>
      <w:szCs w:val="28"/>
      <w:lang w:val="fr-BE" w:eastAsia="fr-BE"/>
    </w:rPr>
  </w:style>
  <w:style w:type="paragraph" w:styleId="Titre2">
    <w:name w:val="heading 2"/>
    <w:basedOn w:val="Normal"/>
    <w:next w:val="Normal"/>
    <w:link w:val="Titre2Car"/>
    <w:uiPriority w:val="9"/>
    <w:semiHidden/>
    <w:unhideWhenUsed/>
    <w:qFormat/>
    <w:rsid w:val="00A674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742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12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121B"/>
    <w:rPr>
      <w:rFonts w:ascii="Lucida Grande" w:hAnsi="Lucida Grande" w:cs="Lucida Grande"/>
      <w:sz w:val="18"/>
      <w:szCs w:val="18"/>
    </w:rPr>
  </w:style>
  <w:style w:type="character" w:customStyle="1" w:styleId="Titre1Car">
    <w:name w:val="Titre 1 Car"/>
    <w:basedOn w:val="Policepardfaut"/>
    <w:link w:val="Titre1"/>
    <w:uiPriority w:val="9"/>
    <w:rsid w:val="00EC121B"/>
    <w:rPr>
      <w:rFonts w:ascii="Cambria" w:eastAsia="Times New Roman" w:hAnsi="Cambria" w:cs="Times New Roman"/>
      <w:b/>
      <w:bCs/>
      <w:sz w:val="28"/>
      <w:szCs w:val="28"/>
      <w:lang w:val="fr-BE" w:eastAsia="fr-BE"/>
    </w:rPr>
  </w:style>
  <w:style w:type="paragraph" w:styleId="Paragraphedeliste">
    <w:name w:val="List Paragraph"/>
    <w:basedOn w:val="Normal"/>
    <w:uiPriority w:val="34"/>
    <w:qFormat/>
    <w:rsid w:val="00130C84"/>
    <w:pPr>
      <w:ind w:left="720"/>
      <w:contextualSpacing/>
    </w:pPr>
  </w:style>
  <w:style w:type="character" w:customStyle="1" w:styleId="Titre2Car">
    <w:name w:val="Titre 2 Car"/>
    <w:basedOn w:val="Policepardfaut"/>
    <w:link w:val="Titre2"/>
    <w:uiPriority w:val="9"/>
    <w:semiHidden/>
    <w:rsid w:val="00A6742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67421"/>
    <w:rPr>
      <w:rFonts w:asciiTheme="majorHAnsi" w:eastAsiaTheme="majorEastAsia" w:hAnsiTheme="majorHAnsi" w:cstheme="majorBidi"/>
      <w:b/>
      <w:bCs/>
      <w:color w:val="4F81BD" w:themeColor="accent1"/>
    </w:rPr>
  </w:style>
  <w:style w:type="paragraph" w:styleId="PrformatHTML">
    <w:name w:val="HTML Preformatted"/>
    <w:basedOn w:val="Normal"/>
    <w:link w:val="PrformatHTMLCar"/>
    <w:uiPriority w:val="99"/>
    <w:semiHidden/>
    <w:unhideWhenUsed/>
    <w:rsid w:val="00BC5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BC5C8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633">
      <w:bodyDiv w:val="1"/>
      <w:marLeft w:val="0"/>
      <w:marRight w:val="0"/>
      <w:marTop w:val="0"/>
      <w:marBottom w:val="0"/>
      <w:divBdr>
        <w:top w:val="none" w:sz="0" w:space="0" w:color="auto"/>
        <w:left w:val="none" w:sz="0" w:space="0" w:color="auto"/>
        <w:bottom w:val="none" w:sz="0" w:space="0" w:color="auto"/>
        <w:right w:val="none" w:sz="0" w:space="0" w:color="auto"/>
      </w:divBdr>
    </w:div>
    <w:div w:id="139151717">
      <w:bodyDiv w:val="1"/>
      <w:marLeft w:val="0"/>
      <w:marRight w:val="0"/>
      <w:marTop w:val="0"/>
      <w:marBottom w:val="0"/>
      <w:divBdr>
        <w:top w:val="none" w:sz="0" w:space="0" w:color="auto"/>
        <w:left w:val="none" w:sz="0" w:space="0" w:color="auto"/>
        <w:bottom w:val="none" w:sz="0" w:space="0" w:color="auto"/>
        <w:right w:val="none" w:sz="0" w:space="0" w:color="auto"/>
      </w:divBdr>
    </w:div>
    <w:div w:id="166217212">
      <w:bodyDiv w:val="1"/>
      <w:marLeft w:val="0"/>
      <w:marRight w:val="0"/>
      <w:marTop w:val="0"/>
      <w:marBottom w:val="0"/>
      <w:divBdr>
        <w:top w:val="none" w:sz="0" w:space="0" w:color="auto"/>
        <w:left w:val="none" w:sz="0" w:space="0" w:color="auto"/>
        <w:bottom w:val="none" w:sz="0" w:space="0" w:color="auto"/>
        <w:right w:val="none" w:sz="0" w:space="0" w:color="auto"/>
      </w:divBdr>
    </w:div>
    <w:div w:id="232544900">
      <w:bodyDiv w:val="1"/>
      <w:marLeft w:val="0"/>
      <w:marRight w:val="0"/>
      <w:marTop w:val="0"/>
      <w:marBottom w:val="0"/>
      <w:divBdr>
        <w:top w:val="none" w:sz="0" w:space="0" w:color="auto"/>
        <w:left w:val="none" w:sz="0" w:space="0" w:color="auto"/>
        <w:bottom w:val="none" w:sz="0" w:space="0" w:color="auto"/>
        <w:right w:val="none" w:sz="0" w:space="0" w:color="auto"/>
      </w:divBdr>
    </w:div>
    <w:div w:id="285089373">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438379347">
      <w:bodyDiv w:val="1"/>
      <w:marLeft w:val="0"/>
      <w:marRight w:val="0"/>
      <w:marTop w:val="0"/>
      <w:marBottom w:val="0"/>
      <w:divBdr>
        <w:top w:val="none" w:sz="0" w:space="0" w:color="auto"/>
        <w:left w:val="none" w:sz="0" w:space="0" w:color="auto"/>
        <w:bottom w:val="none" w:sz="0" w:space="0" w:color="auto"/>
        <w:right w:val="none" w:sz="0" w:space="0" w:color="auto"/>
      </w:divBdr>
    </w:div>
    <w:div w:id="486898217">
      <w:bodyDiv w:val="1"/>
      <w:marLeft w:val="0"/>
      <w:marRight w:val="0"/>
      <w:marTop w:val="0"/>
      <w:marBottom w:val="0"/>
      <w:divBdr>
        <w:top w:val="none" w:sz="0" w:space="0" w:color="auto"/>
        <w:left w:val="none" w:sz="0" w:space="0" w:color="auto"/>
        <w:bottom w:val="none" w:sz="0" w:space="0" w:color="auto"/>
        <w:right w:val="none" w:sz="0" w:space="0" w:color="auto"/>
      </w:divBdr>
    </w:div>
    <w:div w:id="556546716">
      <w:bodyDiv w:val="1"/>
      <w:marLeft w:val="0"/>
      <w:marRight w:val="0"/>
      <w:marTop w:val="0"/>
      <w:marBottom w:val="0"/>
      <w:divBdr>
        <w:top w:val="none" w:sz="0" w:space="0" w:color="auto"/>
        <w:left w:val="none" w:sz="0" w:space="0" w:color="auto"/>
        <w:bottom w:val="none" w:sz="0" w:space="0" w:color="auto"/>
        <w:right w:val="none" w:sz="0" w:space="0" w:color="auto"/>
      </w:divBdr>
    </w:div>
    <w:div w:id="698431811">
      <w:bodyDiv w:val="1"/>
      <w:marLeft w:val="0"/>
      <w:marRight w:val="0"/>
      <w:marTop w:val="0"/>
      <w:marBottom w:val="0"/>
      <w:divBdr>
        <w:top w:val="none" w:sz="0" w:space="0" w:color="auto"/>
        <w:left w:val="none" w:sz="0" w:space="0" w:color="auto"/>
        <w:bottom w:val="none" w:sz="0" w:space="0" w:color="auto"/>
        <w:right w:val="none" w:sz="0" w:space="0" w:color="auto"/>
      </w:divBdr>
    </w:div>
    <w:div w:id="735248494">
      <w:bodyDiv w:val="1"/>
      <w:marLeft w:val="0"/>
      <w:marRight w:val="0"/>
      <w:marTop w:val="0"/>
      <w:marBottom w:val="0"/>
      <w:divBdr>
        <w:top w:val="none" w:sz="0" w:space="0" w:color="auto"/>
        <w:left w:val="none" w:sz="0" w:space="0" w:color="auto"/>
        <w:bottom w:val="none" w:sz="0" w:space="0" w:color="auto"/>
        <w:right w:val="none" w:sz="0" w:space="0" w:color="auto"/>
      </w:divBdr>
    </w:div>
    <w:div w:id="916860158">
      <w:bodyDiv w:val="1"/>
      <w:marLeft w:val="0"/>
      <w:marRight w:val="0"/>
      <w:marTop w:val="0"/>
      <w:marBottom w:val="0"/>
      <w:divBdr>
        <w:top w:val="none" w:sz="0" w:space="0" w:color="auto"/>
        <w:left w:val="none" w:sz="0" w:space="0" w:color="auto"/>
        <w:bottom w:val="none" w:sz="0" w:space="0" w:color="auto"/>
        <w:right w:val="none" w:sz="0" w:space="0" w:color="auto"/>
      </w:divBdr>
    </w:div>
    <w:div w:id="1014961725">
      <w:bodyDiv w:val="1"/>
      <w:marLeft w:val="0"/>
      <w:marRight w:val="0"/>
      <w:marTop w:val="0"/>
      <w:marBottom w:val="0"/>
      <w:divBdr>
        <w:top w:val="none" w:sz="0" w:space="0" w:color="auto"/>
        <w:left w:val="none" w:sz="0" w:space="0" w:color="auto"/>
        <w:bottom w:val="none" w:sz="0" w:space="0" w:color="auto"/>
        <w:right w:val="none" w:sz="0" w:space="0" w:color="auto"/>
      </w:divBdr>
    </w:div>
    <w:div w:id="1261062294">
      <w:bodyDiv w:val="1"/>
      <w:marLeft w:val="0"/>
      <w:marRight w:val="0"/>
      <w:marTop w:val="0"/>
      <w:marBottom w:val="0"/>
      <w:divBdr>
        <w:top w:val="none" w:sz="0" w:space="0" w:color="auto"/>
        <w:left w:val="none" w:sz="0" w:space="0" w:color="auto"/>
        <w:bottom w:val="none" w:sz="0" w:space="0" w:color="auto"/>
        <w:right w:val="none" w:sz="0" w:space="0" w:color="auto"/>
      </w:divBdr>
    </w:div>
    <w:div w:id="1359312424">
      <w:bodyDiv w:val="1"/>
      <w:marLeft w:val="0"/>
      <w:marRight w:val="0"/>
      <w:marTop w:val="0"/>
      <w:marBottom w:val="0"/>
      <w:divBdr>
        <w:top w:val="none" w:sz="0" w:space="0" w:color="auto"/>
        <w:left w:val="none" w:sz="0" w:space="0" w:color="auto"/>
        <w:bottom w:val="none" w:sz="0" w:space="0" w:color="auto"/>
        <w:right w:val="none" w:sz="0" w:space="0" w:color="auto"/>
      </w:divBdr>
    </w:div>
    <w:div w:id="1433091975">
      <w:bodyDiv w:val="1"/>
      <w:marLeft w:val="0"/>
      <w:marRight w:val="0"/>
      <w:marTop w:val="0"/>
      <w:marBottom w:val="0"/>
      <w:divBdr>
        <w:top w:val="none" w:sz="0" w:space="0" w:color="auto"/>
        <w:left w:val="none" w:sz="0" w:space="0" w:color="auto"/>
        <w:bottom w:val="none" w:sz="0" w:space="0" w:color="auto"/>
        <w:right w:val="none" w:sz="0" w:space="0" w:color="auto"/>
      </w:divBdr>
    </w:div>
    <w:div w:id="1449928301">
      <w:bodyDiv w:val="1"/>
      <w:marLeft w:val="0"/>
      <w:marRight w:val="0"/>
      <w:marTop w:val="0"/>
      <w:marBottom w:val="0"/>
      <w:divBdr>
        <w:top w:val="none" w:sz="0" w:space="0" w:color="auto"/>
        <w:left w:val="none" w:sz="0" w:space="0" w:color="auto"/>
        <w:bottom w:val="none" w:sz="0" w:space="0" w:color="auto"/>
        <w:right w:val="none" w:sz="0" w:space="0" w:color="auto"/>
      </w:divBdr>
    </w:div>
    <w:div w:id="1571772901">
      <w:bodyDiv w:val="1"/>
      <w:marLeft w:val="0"/>
      <w:marRight w:val="0"/>
      <w:marTop w:val="0"/>
      <w:marBottom w:val="0"/>
      <w:divBdr>
        <w:top w:val="none" w:sz="0" w:space="0" w:color="auto"/>
        <w:left w:val="none" w:sz="0" w:space="0" w:color="auto"/>
        <w:bottom w:val="none" w:sz="0" w:space="0" w:color="auto"/>
        <w:right w:val="none" w:sz="0" w:space="0" w:color="auto"/>
      </w:divBdr>
    </w:div>
    <w:div w:id="1584989142">
      <w:bodyDiv w:val="1"/>
      <w:marLeft w:val="0"/>
      <w:marRight w:val="0"/>
      <w:marTop w:val="0"/>
      <w:marBottom w:val="0"/>
      <w:divBdr>
        <w:top w:val="none" w:sz="0" w:space="0" w:color="auto"/>
        <w:left w:val="none" w:sz="0" w:space="0" w:color="auto"/>
        <w:bottom w:val="none" w:sz="0" w:space="0" w:color="auto"/>
        <w:right w:val="none" w:sz="0" w:space="0" w:color="auto"/>
      </w:divBdr>
    </w:div>
    <w:div w:id="1614895412">
      <w:bodyDiv w:val="1"/>
      <w:marLeft w:val="0"/>
      <w:marRight w:val="0"/>
      <w:marTop w:val="0"/>
      <w:marBottom w:val="0"/>
      <w:divBdr>
        <w:top w:val="none" w:sz="0" w:space="0" w:color="auto"/>
        <w:left w:val="none" w:sz="0" w:space="0" w:color="auto"/>
        <w:bottom w:val="none" w:sz="0" w:space="0" w:color="auto"/>
        <w:right w:val="none" w:sz="0" w:space="0" w:color="auto"/>
      </w:divBdr>
    </w:div>
    <w:div w:id="1634945504">
      <w:bodyDiv w:val="1"/>
      <w:marLeft w:val="0"/>
      <w:marRight w:val="0"/>
      <w:marTop w:val="0"/>
      <w:marBottom w:val="0"/>
      <w:divBdr>
        <w:top w:val="none" w:sz="0" w:space="0" w:color="auto"/>
        <w:left w:val="none" w:sz="0" w:space="0" w:color="auto"/>
        <w:bottom w:val="none" w:sz="0" w:space="0" w:color="auto"/>
        <w:right w:val="none" w:sz="0" w:space="0" w:color="auto"/>
      </w:divBdr>
    </w:div>
    <w:div w:id="1928687366">
      <w:bodyDiv w:val="1"/>
      <w:marLeft w:val="0"/>
      <w:marRight w:val="0"/>
      <w:marTop w:val="0"/>
      <w:marBottom w:val="0"/>
      <w:divBdr>
        <w:top w:val="none" w:sz="0" w:space="0" w:color="auto"/>
        <w:left w:val="none" w:sz="0" w:space="0" w:color="auto"/>
        <w:bottom w:val="none" w:sz="0" w:space="0" w:color="auto"/>
        <w:right w:val="none" w:sz="0" w:space="0" w:color="auto"/>
      </w:divBdr>
    </w:div>
    <w:div w:id="1965379714">
      <w:bodyDiv w:val="1"/>
      <w:marLeft w:val="0"/>
      <w:marRight w:val="0"/>
      <w:marTop w:val="0"/>
      <w:marBottom w:val="0"/>
      <w:divBdr>
        <w:top w:val="none" w:sz="0" w:space="0" w:color="auto"/>
        <w:left w:val="none" w:sz="0" w:space="0" w:color="auto"/>
        <w:bottom w:val="none" w:sz="0" w:space="0" w:color="auto"/>
        <w:right w:val="none" w:sz="0" w:space="0" w:color="auto"/>
      </w:divBdr>
    </w:div>
    <w:div w:id="210916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2248</Words>
  <Characters>12370</Characters>
  <Application>Microsoft Office Word</Application>
  <DocSecurity>0</DocSecurity>
  <Lines>103</Lines>
  <Paragraphs>29</Paragraphs>
  <ScaleCrop>false</ScaleCrop>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Seignot, Jessyca</cp:lastModifiedBy>
  <cp:revision>6</cp:revision>
  <dcterms:created xsi:type="dcterms:W3CDTF">2020-08-16T09:21:00Z</dcterms:created>
  <dcterms:modified xsi:type="dcterms:W3CDTF">2020-11-06T10:35:00Z</dcterms:modified>
</cp:coreProperties>
</file>